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before="399" w:line="220" w:lineRule="auto"/>
        <w:rPr>
          <w:rFonts w:ascii="SimSun" w:hAnsi="SimSun" w:eastAsia="SimSun" w:cs="SimSun"/>
          <w:sz w:val="123"/>
          <w:szCs w:val="123"/>
        </w:rPr>
      </w:pPr>
      <w:r>
        <w:rPr>
          <w:rFonts w:ascii="SimSun" w:hAnsi="SimSun" w:eastAsia="SimSun" w:cs="SimSun"/>
          <w:sz w:val="123"/>
          <w:szCs w:val="123"/>
          <w:b/>
          <w:bCs/>
          <w:color w:val="E11D00"/>
          <w:spacing w:val="-96"/>
          <w:w w:val="78"/>
        </w:rPr>
        <w:t>山西省公共服务与社会资本合作促进会文件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5976"/>
        <w:spacing w:before="205" w:line="221" w:lineRule="auto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spacing w:val="-12"/>
        </w:rPr>
        <w:t>晋促〔2019〕15号</w:t>
      </w:r>
    </w:p>
    <w:p>
      <w:pPr>
        <w:spacing w:line="436" w:lineRule="auto"/>
        <w:rPr>
          <w:rFonts w:ascii="Arial"/>
          <w:sz w:val="21"/>
        </w:rPr>
      </w:pPr>
      <w:r/>
    </w:p>
    <w:p>
      <w:pPr>
        <w:ind w:firstLine="47"/>
        <w:spacing w:line="60" w:lineRule="exact"/>
        <w:textAlignment w:val="center"/>
        <w:rPr/>
      </w:pPr>
      <w:r>
        <w:drawing>
          <wp:inline distT="0" distB="0" distL="0" distR="0">
            <wp:extent cx="10592818" cy="38222"/>
            <wp:effectExtent l="0" t="0" r="0" b="0"/>
            <wp:docPr id="1" name="IM 1"/>
            <wp:cNvGraphicFramePr/>
            <a:graphic>
              <a:graphicData uri="http://schemas.openxmlformats.org/drawingml/2006/picture">
                <pic:pic>
                  <pic:nvPicPr>
                    <pic:cNvPr id="1" name="IM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92818" cy="3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833"/>
        <w:spacing w:before="277" w:line="242" w:lineRule="auto"/>
        <w:rPr>
          <w:rFonts w:ascii="SimSun" w:hAnsi="SimSun" w:eastAsia="SimSun" w:cs="SimSun"/>
          <w:sz w:val="85"/>
          <w:szCs w:val="85"/>
        </w:rPr>
      </w:pPr>
      <w:r>
        <w:rPr>
          <w:rFonts w:ascii="SimSun" w:hAnsi="SimSun" w:eastAsia="SimSun" w:cs="SimSun"/>
          <w:sz w:val="85"/>
          <w:szCs w:val="85"/>
          <w:b/>
          <w:bCs/>
          <w:spacing w:val="9"/>
        </w:rPr>
        <w:t>关于印发《山西省</w:t>
      </w:r>
      <w:r>
        <w:rPr>
          <w:rFonts w:ascii="SimSun" w:hAnsi="SimSun" w:eastAsia="SimSun" w:cs="SimSun"/>
          <w:sz w:val="85"/>
          <w:szCs w:val="85"/>
          <w:b/>
          <w:bCs/>
        </w:rPr>
        <w:t>PPP</w:t>
      </w:r>
      <w:r>
        <w:rPr>
          <w:rFonts w:ascii="SimSun" w:hAnsi="SimSun" w:eastAsia="SimSun" w:cs="SimSun"/>
          <w:sz w:val="85"/>
          <w:szCs w:val="85"/>
          <w:b/>
          <w:bCs/>
          <w:spacing w:val="9"/>
        </w:rPr>
        <w:t>项目绩效评价服务</w:t>
      </w:r>
    </w:p>
    <w:p>
      <w:pPr>
        <w:ind w:left="1374"/>
        <w:spacing w:before="1" w:line="219" w:lineRule="auto"/>
        <w:rPr>
          <w:rFonts w:ascii="SimSun" w:hAnsi="SimSun" w:eastAsia="SimSun" w:cs="SimSun"/>
          <w:sz w:val="85"/>
          <w:szCs w:val="85"/>
        </w:rPr>
      </w:pPr>
      <w:r>
        <w:rPr>
          <w:rFonts w:ascii="SimSun" w:hAnsi="SimSun" w:eastAsia="SimSun" w:cs="SimSun"/>
          <w:sz w:val="85"/>
          <w:szCs w:val="85"/>
          <w:b/>
          <w:bCs/>
          <w:spacing w:val="18"/>
        </w:rPr>
        <w:t>费用指导价实施意见(试行)》的通知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39"/>
        <w:spacing w:before="205" w:line="221" w:lineRule="auto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spacing w:val="-35"/>
        </w:rPr>
        <w:t>全体会员及有关单位：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39" w:right="37" w:firstLine="1262"/>
        <w:spacing w:before="205" w:line="355" w:lineRule="auto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spacing w:val="-18"/>
        </w:rPr>
        <w:t>随着我省大量PPP项目进入运营阶段，即将迎来了绩效考</w:t>
      </w:r>
      <w:r>
        <w:rPr>
          <w:rFonts w:ascii="SimSun" w:hAnsi="SimSun" w:eastAsia="SimSun" w:cs="SimSun"/>
          <w:sz w:val="63"/>
          <w:szCs w:val="63"/>
          <w:spacing w:val="4"/>
        </w:rPr>
        <w:t xml:space="preserve">  </w:t>
      </w:r>
      <w:r>
        <w:rPr>
          <w:rFonts w:ascii="SimSun" w:hAnsi="SimSun" w:eastAsia="SimSun" w:cs="SimSun"/>
          <w:sz w:val="63"/>
          <w:szCs w:val="63"/>
          <w:spacing w:val="-19"/>
        </w:rPr>
        <w:t>核，为规范山西省PPP项目绩效评价服务市场，避免恶性</w:t>
      </w:r>
      <w:r>
        <w:rPr>
          <w:rFonts w:ascii="SimSun" w:hAnsi="SimSun" w:eastAsia="SimSun" w:cs="SimSun"/>
          <w:sz w:val="63"/>
          <w:szCs w:val="63"/>
          <w:spacing w:val="-20"/>
        </w:rPr>
        <w:t>竞争，</w:t>
      </w:r>
      <w:r>
        <w:rPr>
          <w:rFonts w:ascii="SimSun" w:hAnsi="SimSun" w:eastAsia="SimSun" w:cs="SimSun"/>
          <w:sz w:val="63"/>
          <w:szCs w:val="63"/>
        </w:rPr>
        <w:t xml:space="preserve"> </w:t>
      </w:r>
      <w:r>
        <w:rPr>
          <w:rFonts w:ascii="SimSun" w:hAnsi="SimSun" w:eastAsia="SimSun" w:cs="SimSun"/>
          <w:sz w:val="63"/>
          <w:szCs w:val="63"/>
          <w:spacing w:val="-15"/>
        </w:rPr>
        <w:t>提高PPP绩效评价服务质量，有效促进山西省PPP项目绩效管理</w:t>
      </w:r>
      <w:r>
        <w:rPr>
          <w:rFonts w:ascii="SimSun" w:hAnsi="SimSun" w:eastAsia="SimSun" w:cs="SimSun"/>
          <w:sz w:val="63"/>
          <w:szCs w:val="63"/>
        </w:rPr>
        <w:t xml:space="preserve"> </w:t>
      </w:r>
      <w:r>
        <w:rPr>
          <w:rFonts w:ascii="SimSun" w:hAnsi="SimSun" w:eastAsia="SimSun" w:cs="SimSun"/>
          <w:sz w:val="63"/>
          <w:szCs w:val="63"/>
          <w:spacing w:val="-25"/>
        </w:rPr>
        <w:t>工作的高效实施，推动PPP规范、高质量发展。山西省公共服务</w:t>
      </w:r>
      <w:r>
        <w:rPr>
          <w:rFonts w:ascii="SimSun" w:hAnsi="SimSun" w:eastAsia="SimSun" w:cs="SimSun"/>
          <w:sz w:val="63"/>
          <w:szCs w:val="63"/>
          <w:spacing w:val="3"/>
        </w:rPr>
        <w:t xml:space="preserve"> </w:t>
      </w:r>
      <w:r>
        <w:rPr>
          <w:rFonts w:ascii="SimSun" w:hAnsi="SimSun" w:eastAsia="SimSun" w:cs="SimSun"/>
          <w:sz w:val="63"/>
          <w:szCs w:val="63"/>
          <w:spacing w:val="-28"/>
        </w:rPr>
        <w:t>与社会资本合作促进会结合绩效评价工作的特性</w:t>
      </w:r>
      <w:r>
        <w:rPr>
          <w:rFonts w:ascii="SimSun" w:hAnsi="SimSun" w:eastAsia="SimSun" w:cs="SimSun"/>
          <w:sz w:val="63"/>
          <w:szCs w:val="63"/>
          <w:spacing w:val="-29"/>
        </w:rPr>
        <w:t>，组织相关专</w:t>
      </w:r>
      <w:r>
        <w:rPr>
          <w:rFonts w:ascii="SimSun" w:hAnsi="SimSun" w:eastAsia="SimSun" w:cs="SimSun"/>
          <w:sz w:val="63"/>
          <w:szCs w:val="63"/>
        </w:rPr>
        <w:t xml:space="preserve">  </w:t>
      </w:r>
      <w:r>
        <w:rPr>
          <w:rFonts w:ascii="SimSun" w:hAnsi="SimSun" w:eastAsia="SimSun" w:cs="SimSun"/>
          <w:sz w:val="63"/>
          <w:szCs w:val="63"/>
          <w:spacing w:val="-37"/>
        </w:rPr>
        <w:t>家、会员单位、咨询机构代表及相关机构，结合</w:t>
      </w:r>
      <w:r>
        <w:rPr>
          <w:rFonts w:ascii="SimSun" w:hAnsi="SimSun" w:eastAsia="SimSun" w:cs="SimSun"/>
          <w:sz w:val="63"/>
          <w:szCs w:val="63"/>
          <w:spacing w:val="-38"/>
        </w:rPr>
        <w:t>市场环境、行业</w:t>
      </w:r>
      <w:r>
        <w:rPr>
          <w:rFonts w:ascii="SimSun" w:hAnsi="SimSun" w:eastAsia="SimSun" w:cs="SimSun"/>
          <w:sz w:val="63"/>
          <w:szCs w:val="63"/>
        </w:rPr>
        <w:t xml:space="preserve"> </w:t>
      </w:r>
      <w:r>
        <w:rPr>
          <w:rFonts w:ascii="SimSun" w:hAnsi="SimSun" w:eastAsia="SimSun" w:cs="SimSun"/>
          <w:sz w:val="63"/>
          <w:szCs w:val="63"/>
          <w:spacing w:val="-24"/>
        </w:rPr>
        <w:t>标准、服务质量等因素，共同制定了《山西省PPP项目绩效评价</w:t>
      </w:r>
      <w:r>
        <w:rPr>
          <w:rFonts w:ascii="SimSun" w:hAnsi="SimSun" w:eastAsia="SimSun" w:cs="SimSun"/>
          <w:sz w:val="63"/>
          <w:szCs w:val="63"/>
          <w:spacing w:val="10"/>
        </w:rPr>
        <w:t xml:space="preserve"> </w:t>
      </w:r>
      <w:r>
        <w:rPr>
          <w:rFonts w:ascii="SimSun" w:hAnsi="SimSun" w:eastAsia="SimSun" w:cs="SimSun"/>
          <w:sz w:val="63"/>
          <w:szCs w:val="63"/>
          <w:spacing w:val="-5"/>
        </w:rPr>
        <w:t>服务费用指导价实施意见(试行)》,现给予印发，以供会员单</w:t>
      </w:r>
      <w:r>
        <w:rPr>
          <w:rFonts w:ascii="SimSun" w:hAnsi="SimSun" w:eastAsia="SimSun" w:cs="SimSun"/>
          <w:sz w:val="63"/>
          <w:szCs w:val="63"/>
          <w:spacing w:val="9"/>
        </w:rPr>
        <w:t xml:space="preserve"> </w:t>
      </w:r>
      <w:r>
        <w:rPr>
          <w:rFonts w:ascii="SimSun" w:hAnsi="SimSun" w:eastAsia="SimSun" w:cs="SimSun"/>
          <w:sz w:val="63"/>
          <w:szCs w:val="63"/>
          <w:spacing w:val="-35"/>
        </w:rPr>
        <w:t>位及有关合作单位参考。今后政府部门若有相关政策规定，从其</w:t>
      </w:r>
    </w:p>
    <w:p>
      <w:pPr>
        <w:ind w:left="39"/>
        <w:spacing w:before="2" w:line="222" w:lineRule="auto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spacing w:val="-33"/>
        </w:rPr>
        <w:t>规定。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ind w:right="176"/>
        <w:spacing w:before="166" w:line="184" w:lineRule="auto"/>
        <w:jc w:val="right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-19"/>
        </w:rPr>
        <w:t>—</w:t>
      </w:r>
      <w:r>
        <w:rPr>
          <w:rFonts w:ascii="SimSun" w:hAnsi="SimSun" w:eastAsia="SimSun" w:cs="SimSun"/>
          <w:sz w:val="51"/>
          <w:szCs w:val="51"/>
          <w:spacing w:val="-198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-19"/>
        </w:rPr>
        <w:t>1—</w:t>
      </w:r>
    </w:p>
    <w:p>
      <w:pPr>
        <w:sectPr>
          <w:pgSz w:w="22438" w:h="31680"/>
          <w:pgMar w:top="2692" w:right="2799" w:bottom="0" w:left="2785" w:header="0" w:footer="0" w:gutter="0"/>
        </w:sectPr>
        <w:rPr/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1209"/>
        <w:spacing w:before="188"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59"/>
        </w:rPr>
        <w:t>附件：山西省</w:t>
      </w:r>
      <w:r>
        <w:rPr>
          <w:rFonts w:ascii="SimSun" w:hAnsi="SimSun" w:eastAsia="SimSun" w:cs="SimSun"/>
          <w:sz w:val="58"/>
          <w:szCs w:val="58"/>
        </w:rPr>
        <w:t>PPP</w:t>
      </w:r>
      <w:r>
        <w:rPr>
          <w:rFonts w:ascii="SimSun" w:hAnsi="SimSun" w:eastAsia="SimSun" w:cs="SimSun"/>
          <w:sz w:val="58"/>
          <w:szCs w:val="58"/>
          <w:spacing w:val="59"/>
        </w:rPr>
        <w:t>项目绩效评价服务费用指导价实施意见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ind w:left="3321"/>
        <w:spacing w:before="188" w:line="222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2"/>
        </w:rPr>
        <w:t>(</w:t>
      </w:r>
      <w:r>
        <w:rPr>
          <w:rFonts w:ascii="SimSun" w:hAnsi="SimSun" w:eastAsia="SimSun" w:cs="SimSun"/>
          <w:sz w:val="58"/>
          <w:szCs w:val="58"/>
          <w:spacing w:val="-109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42"/>
        </w:rPr>
        <w:t>试</w:t>
      </w:r>
      <w:r>
        <w:rPr>
          <w:rFonts w:ascii="SimSun" w:hAnsi="SimSun" w:eastAsia="SimSun" w:cs="SimSun"/>
          <w:sz w:val="58"/>
          <w:szCs w:val="58"/>
          <w:spacing w:val="-101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42"/>
        </w:rPr>
        <w:t>行</w:t>
      </w:r>
      <w:r>
        <w:rPr>
          <w:rFonts w:ascii="SimSun" w:hAnsi="SimSun" w:eastAsia="SimSun" w:cs="SimSun"/>
          <w:sz w:val="58"/>
          <w:szCs w:val="58"/>
          <w:spacing w:val="-107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42"/>
        </w:rPr>
        <w:t>)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before="189" w:line="1264" w:lineRule="exact"/>
        <w:jc w:val="right"/>
        <w:rPr>
          <w:rFonts w:ascii="SimSun" w:hAnsi="SimSun" w:eastAsia="SimSun" w:cs="SimSun"/>
          <w:sz w:val="58"/>
          <w:szCs w:val="58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5978808</wp:posOffset>
            </wp:positionH>
            <wp:positionV relativeFrom="paragraph">
              <wp:posOffset>-2160181</wp:posOffset>
            </wp:positionV>
            <wp:extent cx="2915387" cy="301088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5387" cy="3010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8"/>
          <w:szCs w:val="58"/>
          <w:spacing w:val="37"/>
          <w:position w:val="51"/>
        </w:rPr>
        <w:t>山西省公共服务与社会资本合作促进会</w:t>
      </w:r>
    </w:p>
    <w:p>
      <w:pPr>
        <w:ind w:left="9370"/>
        <w:spacing w:line="221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80"/>
          <w:w w:val="106"/>
        </w:rPr>
        <w:t>2019年5月22日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before="189" w:line="184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"/>
        </w:rPr>
        <w:t>—2—</w:t>
      </w:r>
    </w:p>
    <w:p>
      <w:pPr>
        <w:sectPr>
          <w:pgSz w:w="22438" w:h="31680"/>
          <w:pgMar w:top="2692" w:right="2589" w:bottom="0" w:left="2674" w:header="0" w:footer="0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15"/>
        <w:spacing w:before="185" w:line="225" w:lineRule="auto"/>
        <w:rPr>
          <w:rFonts w:ascii="SimHei" w:hAnsi="SimHei" w:eastAsia="SimHei" w:cs="SimHei"/>
          <w:sz w:val="57"/>
          <w:szCs w:val="57"/>
        </w:rPr>
      </w:pPr>
      <w:r>
        <w:rPr>
          <w:rFonts w:ascii="SimHei" w:hAnsi="SimHei" w:eastAsia="SimHei" w:cs="SimHei"/>
          <w:sz w:val="57"/>
          <w:szCs w:val="57"/>
          <w:b/>
          <w:bCs/>
          <w:spacing w:val="9"/>
        </w:rPr>
        <w:t>附件：</w:t>
      </w:r>
    </w:p>
    <w:p>
      <w:pPr>
        <w:ind w:left="2926"/>
        <w:spacing w:before="276" w:line="1082" w:lineRule="exact"/>
        <w:rPr>
          <w:rFonts w:ascii="SimSun" w:hAnsi="SimSun" w:eastAsia="SimSun" w:cs="SimSun"/>
          <w:sz w:val="79"/>
          <w:szCs w:val="79"/>
        </w:rPr>
      </w:pPr>
      <w:r>
        <w:rPr>
          <w:rFonts w:ascii="SimSun" w:hAnsi="SimSun" w:eastAsia="SimSun" w:cs="SimSun"/>
          <w:sz w:val="79"/>
          <w:szCs w:val="79"/>
          <w:b/>
          <w:bCs/>
          <w:spacing w:val="86"/>
          <w:position w:val="19"/>
        </w:rPr>
        <w:t>山西省</w:t>
      </w:r>
      <w:r>
        <w:rPr>
          <w:rFonts w:ascii="SimSun" w:hAnsi="SimSun" w:eastAsia="SimSun" w:cs="SimSun"/>
          <w:sz w:val="79"/>
          <w:szCs w:val="79"/>
          <w:b/>
          <w:bCs/>
          <w:position w:val="19"/>
        </w:rPr>
        <w:t>PPP</w:t>
      </w:r>
      <w:r>
        <w:rPr>
          <w:rFonts w:ascii="SimSun" w:hAnsi="SimSun" w:eastAsia="SimSun" w:cs="SimSun"/>
          <w:sz w:val="79"/>
          <w:szCs w:val="79"/>
          <w:b/>
          <w:bCs/>
          <w:spacing w:val="86"/>
          <w:position w:val="19"/>
        </w:rPr>
        <w:t>项目绩效评价服务</w:t>
      </w:r>
    </w:p>
    <w:p>
      <w:pPr>
        <w:ind w:left="3016"/>
        <w:spacing w:before="1" w:line="219" w:lineRule="auto"/>
        <w:rPr>
          <w:rFonts w:ascii="SimSun" w:hAnsi="SimSun" w:eastAsia="SimSun" w:cs="SimSun"/>
          <w:sz w:val="79"/>
          <w:szCs w:val="79"/>
        </w:rPr>
      </w:pPr>
      <w:r>
        <w:rPr>
          <w:rFonts w:ascii="SimSun" w:hAnsi="SimSun" w:eastAsia="SimSun" w:cs="SimSun"/>
          <w:sz w:val="79"/>
          <w:szCs w:val="79"/>
          <w:b/>
          <w:bCs/>
          <w:spacing w:val="62"/>
        </w:rPr>
        <w:t>费用指导价实施意见(试行)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7" w:right="67" w:firstLine="1217"/>
        <w:spacing w:before="185" w:line="343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62"/>
        </w:rPr>
        <w:t>本实施意见仅适用于山西省内的</w:t>
      </w:r>
      <w:r>
        <w:rPr>
          <w:rFonts w:ascii="SimSun" w:hAnsi="SimSun" w:eastAsia="SimSun" w:cs="SimSun"/>
          <w:sz w:val="57"/>
          <w:szCs w:val="57"/>
        </w:rPr>
        <w:t>PPP</w:t>
      </w:r>
      <w:r>
        <w:rPr>
          <w:rFonts w:ascii="SimSun" w:hAnsi="SimSun" w:eastAsia="SimSun" w:cs="SimSun"/>
          <w:sz w:val="57"/>
          <w:szCs w:val="57"/>
          <w:spacing w:val="62"/>
        </w:rPr>
        <w:t>项目绩效评价服务收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31"/>
        </w:rPr>
        <w:t>费，绩效评价机构应是依法设立的法人或机构，具备提供</w:t>
      </w:r>
      <w:r>
        <w:rPr>
          <w:rFonts w:ascii="SimSun" w:hAnsi="SimSun" w:eastAsia="SimSun" w:cs="SimSun"/>
          <w:sz w:val="57"/>
          <w:szCs w:val="57"/>
        </w:rPr>
        <w:t>PPP</w:t>
      </w:r>
      <w:r>
        <w:rPr>
          <w:rFonts w:ascii="SimSun" w:hAnsi="SimSun" w:eastAsia="SimSun" w:cs="SimSun"/>
          <w:sz w:val="57"/>
          <w:szCs w:val="57"/>
          <w:spacing w:val="31"/>
        </w:rPr>
        <w:t>项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8"/>
        </w:rPr>
        <w:t>目绩效评价专业服务的能力，能够按照相关要求保质保量完成评</w:t>
      </w:r>
    </w:p>
    <w:p>
      <w:pPr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0"/>
        </w:rPr>
        <w:t>价任务。</w:t>
      </w:r>
    </w:p>
    <w:p>
      <w:pPr>
        <w:ind w:left="1232"/>
        <w:spacing w:before="386" w:line="221" w:lineRule="auto"/>
        <w:outlineLvl w:val="0"/>
        <w:rPr>
          <w:rFonts w:ascii="SimHei" w:hAnsi="SimHei" w:eastAsia="SimHei" w:cs="SimHei"/>
          <w:sz w:val="57"/>
          <w:szCs w:val="57"/>
        </w:rPr>
      </w:pPr>
      <w:r>
        <w:rPr>
          <w:rFonts w:ascii="SimHei" w:hAnsi="SimHei" w:eastAsia="SimHei" w:cs="SimHei"/>
          <w:sz w:val="57"/>
          <w:szCs w:val="57"/>
          <w:b/>
          <w:bCs/>
          <w:spacing w:val="29"/>
        </w:rPr>
        <w:t>一</w:t>
      </w:r>
      <w:r>
        <w:rPr>
          <w:rFonts w:ascii="SimHei" w:hAnsi="SimHei" w:eastAsia="SimHei" w:cs="SimHei"/>
          <w:sz w:val="57"/>
          <w:szCs w:val="57"/>
          <w:spacing w:val="-148"/>
        </w:rPr>
        <w:t xml:space="preserve"> </w:t>
      </w:r>
      <w:r>
        <w:rPr>
          <w:rFonts w:ascii="SimHei" w:hAnsi="SimHei" w:eastAsia="SimHei" w:cs="SimHei"/>
          <w:sz w:val="57"/>
          <w:szCs w:val="57"/>
          <w:b/>
          <w:bCs/>
          <w:spacing w:val="29"/>
        </w:rPr>
        <w:t>、</w:t>
      </w:r>
      <w:r>
        <w:rPr>
          <w:rFonts w:ascii="SimHei" w:hAnsi="SimHei" w:eastAsia="SimHei" w:cs="SimHei"/>
          <w:sz w:val="57"/>
          <w:szCs w:val="57"/>
          <w:b/>
          <w:bCs/>
        </w:rPr>
        <w:t>PPP</w:t>
      </w:r>
      <w:r>
        <w:rPr>
          <w:rFonts w:ascii="SimHei" w:hAnsi="SimHei" w:eastAsia="SimHei" w:cs="SimHei"/>
          <w:sz w:val="57"/>
          <w:szCs w:val="57"/>
          <w:b/>
          <w:bCs/>
          <w:spacing w:val="29"/>
        </w:rPr>
        <w:t>绩效评价服务应遵循的原则</w:t>
      </w:r>
    </w:p>
    <w:p>
      <w:pPr>
        <w:ind w:right="53"/>
        <w:spacing w:before="387" w:line="1068" w:lineRule="exact"/>
        <w:jc w:val="righ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40"/>
          <w:position w:val="37"/>
        </w:rPr>
        <w:t>1.</w:t>
      </w:r>
      <w:r>
        <w:rPr>
          <w:rFonts w:ascii="SimSun" w:hAnsi="SimSun" w:eastAsia="SimSun" w:cs="SimSun"/>
          <w:sz w:val="57"/>
          <w:szCs w:val="57"/>
          <w:spacing w:val="119"/>
          <w:position w:val="3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40"/>
          <w:position w:val="37"/>
        </w:rPr>
        <w:t>绩效评价服务费原则上“谁委托谁付费”,由服务合同</w:t>
      </w:r>
    </w:p>
    <w:p>
      <w:pPr>
        <w:ind w:left="7"/>
        <w:spacing w:before="3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20"/>
        </w:rPr>
        <w:t>的委托方支付，也可协商另定；</w:t>
      </w:r>
    </w:p>
    <w:p>
      <w:pPr>
        <w:ind w:left="7" w:right="93" w:firstLine="1217"/>
        <w:spacing w:before="373" w:line="344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43"/>
        </w:rPr>
        <w:t>2.</w:t>
      </w:r>
      <w:r>
        <w:rPr>
          <w:rFonts w:ascii="SimSun" w:hAnsi="SimSun" w:eastAsia="SimSun" w:cs="SimSun"/>
          <w:sz w:val="57"/>
          <w:szCs w:val="57"/>
          <w:spacing w:val="8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43"/>
        </w:rPr>
        <w:t>第三方机构执行</w:t>
      </w:r>
      <w:r>
        <w:rPr>
          <w:rFonts w:ascii="SimSun" w:hAnsi="SimSun" w:eastAsia="SimSun" w:cs="SimSun"/>
          <w:sz w:val="57"/>
          <w:szCs w:val="57"/>
        </w:rPr>
        <w:t>PPP</w:t>
      </w:r>
      <w:r>
        <w:rPr>
          <w:rFonts w:ascii="SimSun" w:hAnsi="SimSun" w:eastAsia="SimSun" w:cs="SimSun"/>
          <w:sz w:val="57"/>
          <w:szCs w:val="57"/>
          <w:spacing w:val="43"/>
        </w:rPr>
        <w:t>项目绩效评价业务，应当遵守国家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1"/>
        </w:rPr>
        <w:t>相关法律法规和绩效评价领域相关规范要求，接受相关部门的监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0"/>
        </w:rPr>
        <w:t>督与指导，坚持勤勉尽责及保密原则，恪守独立、客观、公正的</w:t>
      </w:r>
    </w:p>
    <w:p>
      <w:pPr>
        <w:ind w:left="7"/>
        <w:spacing w:before="2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26"/>
        </w:rPr>
        <w:t>职业道德，不得利用执业便利为自己或他人谋取不正当利益。</w:t>
      </w:r>
    </w:p>
    <w:p>
      <w:pPr>
        <w:ind w:left="1232"/>
        <w:spacing w:before="362" w:line="221" w:lineRule="auto"/>
        <w:outlineLvl w:val="0"/>
        <w:rPr>
          <w:rFonts w:ascii="SimHei" w:hAnsi="SimHei" w:eastAsia="SimHei" w:cs="SimHei"/>
          <w:sz w:val="57"/>
          <w:szCs w:val="57"/>
        </w:rPr>
      </w:pPr>
      <w:r>
        <w:rPr>
          <w:rFonts w:ascii="SimHei" w:hAnsi="SimHei" w:eastAsia="SimHei" w:cs="SimHei"/>
          <w:sz w:val="57"/>
          <w:szCs w:val="57"/>
          <w:b/>
          <w:bCs/>
          <w:spacing w:val="42"/>
        </w:rPr>
        <w:t>二、</w:t>
      </w:r>
      <w:r>
        <w:rPr>
          <w:rFonts w:ascii="SimHei" w:hAnsi="SimHei" w:eastAsia="SimHei" w:cs="SimHei"/>
          <w:sz w:val="57"/>
          <w:szCs w:val="57"/>
          <w:b/>
          <w:bCs/>
        </w:rPr>
        <w:t>PPP</w:t>
      </w:r>
      <w:r>
        <w:rPr>
          <w:rFonts w:ascii="SimHei" w:hAnsi="SimHei" w:eastAsia="SimHei" w:cs="SimHei"/>
          <w:sz w:val="57"/>
          <w:szCs w:val="57"/>
          <w:b/>
          <w:bCs/>
          <w:spacing w:val="42"/>
        </w:rPr>
        <w:t>项目绩效评价服务内容</w:t>
      </w:r>
    </w:p>
    <w:p>
      <w:pPr>
        <w:ind w:left="7" w:right="77" w:firstLine="1217"/>
        <w:spacing w:before="381" w:line="344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</w:rPr>
        <w:t>PPP</w:t>
      </w:r>
      <w:r>
        <w:rPr>
          <w:rFonts w:ascii="SimSun" w:hAnsi="SimSun" w:eastAsia="SimSun" w:cs="SimSun"/>
          <w:sz w:val="57"/>
          <w:szCs w:val="57"/>
          <w:spacing w:val="35"/>
        </w:rPr>
        <w:t>项目绩效评价服务内容主要包括：绩效评价工作方案制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3"/>
        </w:rPr>
        <w:t>定；绩效目标及绩效指标的梳理与编制；数据收集与分析；编</w:t>
      </w:r>
      <w:r>
        <w:rPr>
          <w:rFonts w:ascii="SimSun" w:hAnsi="SimSun" w:eastAsia="SimSun" w:cs="SimSun"/>
          <w:sz w:val="57"/>
          <w:szCs w:val="57"/>
          <w:spacing w:val="22"/>
        </w:rPr>
        <w:t>写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0"/>
        </w:rPr>
        <w:t>绩效评价报告，为按效付费及完善项目管理机制提供支持；其他</w:t>
      </w:r>
    </w:p>
    <w:p>
      <w:pPr>
        <w:ind w:left="7"/>
        <w:spacing w:before="2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9"/>
        </w:rPr>
        <w:t>相关配套服务。</w:t>
      </w:r>
    </w:p>
    <w:p>
      <w:pPr>
        <w:ind w:left="1232"/>
        <w:spacing w:before="377" w:line="221" w:lineRule="auto"/>
        <w:outlineLvl w:val="0"/>
        <w:rPr>
          <w:rFonts w:ascii="SimHei" w:hAnsi="SimHei" w:eastAsia="SimHei" w:cs="SimHei"/>
          <w:sz w:val="57"/>
          <w:szCs w:val="57"/>
        </w:rPr>
      </w:pPr>
      <w:r>
        <w:rPr>
          <w:rFonts w:ascii="SimHei" w:hAnsi="SimHei" w:eastAsia="SimHei" w:cs="SimHei"/>
          <w:sz w:val="57"/>
          <w:szCs w:val="57"/>
          <w:b/>
          <w:bCs/>
          <w:spacing w:val="41"/>
        </w:rPr>
        <w:t>三、</w:t>
      </w:r>
      <w:r>
        <w:rPr>
          <w:rFonts w:ascii="SimHei" w:hAnsi="SimHei" w:eastAsia="SimHei" w:cs="SimHei"/>
          <w:sz w:val="57"/>
          <w:szCs w:val="57"/>
          <w:b/>
          <w:bCs/>
        </w:rPr>
        <w:t>PPP</w:t>
      </w:r>
      <w:r>
        <w:rPr>
          <w:rFonts w:ascii="SimHei" w:hAnsi="SimHei" w:eastAsia="SimHei" w:cs="SimHei"/>
          <w:sz w:val="57"/>
          <w:szCs w:val="57"/>
          <w:b/>
          <w:bCs/>
          <w:spacing w:val="41"/>
        </w:rPr>
        <w:t>项目绩效评价服务费构成</w:t>
      </w:r>
    </w:p>
    <w:p>
      <w:pPr>
        <w:ind w:right="69"/>
        <w:spacing w:before="408" w:line="1056" w:lineRule="exact"/>
        <w:jc w:val="righ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position w:val="36"/>
        </w:rPr>
        <w:t>PPP</w:t>
      </w:r>
      <w:r>
        <w:rPr>
          <w:rFonts w:ascii="SimSun" w:hAnsi="SimSun" w:eastAsia="SimSun" w:cs="SimSun"/>
          <w:sz w:val="57"/>
          <w:szCs w:val="57"/>
          <w:spacing w:val="65"/>
          <w:position w:val="36"/>
        </w:rPr>
        <w:t>项目绩效评价服务费用=</w:t>
      </w:r>
      <w:r>
        <w:rPr>
          <w:rFonts w:ascii="SimSun" w:hAnsi="SimSun" w:eastAsia="SimSun" w:cs="SimSun"/>
          <w:sz w:val="57"/>
          <w:szCs w:val="57"/>
          <w:position w:val="36"/>
        </w:rPr>
        <w:t>PPP</w:t>
      </w:r>
      <w:r>
        <w:rPr>
          <w:rFonts w:ascii="SimSun" w:hAnsi="SimSun" w:eastAsia="SimSun" w:cs="SimSun"/>
          <w:sz w:val="57"/>
          <w:szCs w:val="57"/>
          <w:spacing w:val="65"/>
          <w:position w:val="36"/>
        </w:rPr>
        <w:t>项目绩效评价基础服务</w:t>
      </w:r>
      <w:r>
        <w:rPr>
          <w:rFonts w:ascii="SimSun" w:hAnsi="SimSun" w:eastAsia="SimSun" w:cs="SimSun"/>
          <w:sz w:val="57"/>
          <w:szCs w:val="57"/>
          <w:spacing w:val="64"/>
          <w:position w:val="36"/>
        </w:rPr>
        <w:t>费</w:t>
      </w:r>
    </w:p>
    <w:p>
      <w:pPr>
        <w:ind w:left="150"/>
        <w:spacing w:before="2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21"/>
        </w:rPr>
        <w:t>×项目复杂系数+其他服务费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before="185" w:line="183" w:lineRule="auto"/>
        <w:jc w:val="righ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0"/>
        </w:rPr>
        <w:t>—3—</w:t>
      </w:r>
    </w:p>
    <w:p>
      <w:pPr>
        <w:sectPr>
          <w:pgSz w:w="22438" w:h="31680"/>
          <w:pgMar w:top="2692" w:right="2930" w:bottom="0" w:left="2817" w:header="0" w:footer="0" w:gutter="0"/>
        </w:sectPr>
        <w:rPr/>
      </w:pPr>
    </w:p>
    <w:p>
      <w:pPr>
        <w:spacing w:line="265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1727262</wp:posOffset>
            </wp:positionH>
            <wp:positionV relativeFrom="page">
              <wp:posOffset>18170097</wp:posOffset>
            </wp:positionV>
            <wp:extent cx="10845717" cy="9455"/>
            <wp:effectExtent l="0" t="0" r="0" b="0"/>
            <wp:wrapNone/>
            <wp:docPr id="3" name="IM 3"/>
            <wp:cNvGraphicFramePr/>
            <a:graphic>
              <a:graphicData uri="http://schemas.openxmlformats.org/drawingml/2006/picture">
                <pic:pic>
                  <pic:nvPicPr>
                    <pic:cNvPr id="3" name="IM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45717" cy="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1727262</wp:posOffset>
            </wp:positionH>
            <wp:positionV relativeFrom="page">
              <wp:posOffset>18900136</wp:posOffset>
            </wp:positionV>
            <wp:extent cx="10836171" cy="945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36171" cy="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1345"/>
        <w:spacing w:before="165" w:line="218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119"/>
        </w:rPr>
        <w:t>附件：</w:t>
      </w:r>
      <w:r>
        <w:rPr>
          <w:rFonts w:ascii="SimSun" w:hAnsi="SimSun" w:eastAsia="SimSun" w:cs="SimSun"/>
          <w:sz w:val="51"/>
          <w:szCs w:val="51"/>
        </w:rPr>
        <w:t>PPP</w:t>
      </w:r>
      <w:r>
        <w:rPr>
          <w:rFonts w:ascii="SimSun" w:hAnsi="SimSun" w:eastAsia="SimSun" w:cs="SimSun"/>
          <w:sz w:val="51"/>
          <w:szCs w:val="51"/>
          <w:spacing w:val="119"/>
        </w:rPr>
        <w:t>项目绩效评价服务费用计算表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646"/>
        <w:spacing w:before="166" w:line="221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28"/>
          <w:position w:val="1"/>
        </w:rPr>
        <w:t>山西省公共服务与社会资本合作促进会</w:t>
      </w:r>
      <w:r>
        <w:rPr>
          <w:rFonts w:ascii="SimSun" w:hAnsi="SimSun" w:eastAsia="SimSun" w:cs="SimSun"/>
          <w:sz w:val="51"/>
          <w:szCs w:val="51"/>
          <w:spacing w:val="7"/>
          <w:position w:val="1"/>
        </w:rPr>
        <w:t xml:space="preserve">      </w:t>
      </w:r>
      <w:r>
        <w:rPr>
          <w:rFonts w:ascii="SimSun" w:hAnsi="SimSun" w:eastAsia="SimSun" w:cs="SimSun"/>
          <w:sz w:val="51"/>
          <w:szCs w:val="51"/>
          <w:spacing w:val="77"/>
          <w:position w:val="-1"/>
        </w:rPr>
        <w:t>2019年5月22日印发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15"/>
        <w:spacing w:before="166" w:line="183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</w:rPr>
        <w:t>—4—</w:t>
      </w:r>
    </w:p>
    <w:p>
      <w:pPr>
        <w:sectPr>
          <w:pgSz w:w="22438" w:h="31680"/>
          <w:pgMar w:top="2692" w:right="2637" w:bottom="0" w:left="2720" w:header="0" w:footer="0" w:gutter="0"/>
        </w:sectPr>
        <w:rPr/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864"/>
        <w:spacing w:before="205" w:line="225" w:lineRule="auto"/>
        <w:rPr>
          <w:rFonts w:ascii="SimHei" w:hAnsi="SimHei" w:eastAsia="SimHei" w:cs="SimHei"/>
          <w:sz w:val="63"/>
          <w:szCs w:val="63"/>
        </w:rPr>
      </w:pPr>
      <w:r>
        <w:rPr>
          <w:rFonts w:ascii="SimHei" w:hAnsi="SimHei" w:eastAsia="SimHei" w:cs="SimHei"/>
          <w:sz w:val="63"/>
          <w:szCs w:val="63"/>
          <w:spacing w:val="-33"/>
        </w:rPr>
        <w:t>附件：</w:t>
      </w:r>
    </w:p>
    <w:p>
      <w:pPr>
        <w:ind w:left="9873"/>
        <w:spacing w:before="74" w:line="223" w:lineRule="auto"/>
        <w:rPr>
          <w:rFonts w:ascii="SimHei" w:hAnsi="SimHei" w:eastAsia="SimHei" w:cs="SimHei"/>
          <w:sz w:val="52"/>
          <w:szCs w:val="52"/>
        </w:rPr>
      </w:pPr>
      <w:r>
        <w:rPr>
          <w:rFonts w:ascii="SimHei" w:hAnsi="SimHei" w:eastAsia="SimHei" w:cs="SimHei"/>
          <w:sz w:val="52"/>
          <w:szCs w:val="52"/>
          <w:b/>
          <w:bCs/>
        </w:rPr>
        <w:t>PPP</w:t>
      </w:r>
      <w:r>
        <w:rPr>
          <w:rFonts w:ascii="SimHei" w:hAnsi="SimHei" w:eastAsia="SimHei" w:cs="SimHei"/>
          <w:sz w:val="52"/>
          <w:szCs w:val="52"/>
          <w:b/>
          <w:bCs/>
          <w:spacing w:val="52"/>
        </w:rPr>
        <w:t>项目绩效评价服务费用计算表</w:t>
      </w:r>
    </w:p>
    <w:p>
      <w:pPr>
        <w:rPr/>
      </w:pPr>
      <w:r/>
    </w:p>
    <w:p>
      <w:pPr>
        <w:spacing w:line="33" w:lineRule="exact"/>
        <w:rPr/>
      </w:pPr>
      <w:r/>
    </w:p>
    <w:tbl>
      <w:tblPr>
        <w:tblStyle w:val="2"/>
        <w:tblW w:w="27286" w:type="dxa"/>
        <w:tblInd w:w="23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513"/>
        <w:gridCol w:w="4162"/>
        <w:gridCol w:w="4778"/>
        <w:gridCol w:w="834"/>
        <w:gridCol w:w="6175"/>
        <w:gridCol w:w="2517"/>
        <w:gridCol w:w="4440"/>
        <w:gridCol w:w="1867"/>
      </w:tblGrid>
      <w:tr>
        <w:trPr>
          <w:trHeight w:val="570" w:hRule="atLeast"/>
        </w:trPr>
        <w:tc>
          <w:tcPr>
            <w:tcW w:w="11453" w:type="dxa"/>
            <w:vAlign w:val="top"/>
            <w:gridSpan w:val="3"/>
          </w:tcPr>
          <w:p>
            <w:pPr>
              <w:ind w:left="3898"/>
              <w:spacing w:before="95" w:line="219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7"/>
              </w:rPr>
              <w:t>服务内容对应的基价</w:t>
            </w:r>
          </w:p>
        </w:tc>
        <w:tc>
          <w:tcPr>
            <w:tcW w:w="13966" w:type="dxa"/>
            <w:vAlign w:val="top"/>
            <w:gridSpan w:val="4"/>
          </w:tcPr>
          <w:p>
            <w:pPr>
              <w:ind w:left="5760"/>
              <w:spacing w:before="97" w:line="218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8"/>
              </w:rPr>
              <w:t>调整复杂系数</w:t>
            </w:r>
          </w:p>
        </w:tc>
        <w:tc>
          <w:tcPr>
            <w:tcW w:w="1867" w:type="dxa"/>
            <w:vAlign w:val="top"/>
            <w:vMerge w:val="restart"/>
            <w:tcBorders>
              <w:bottom w:val="none" w:color="000000" w:sz="2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458" w:right="136"/>
              <w:spacing w:before="130" w:line="241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10"/>
              </w:rPr>
              <w:t>其他服</w:t>
            </w:r>
            <w:r>
              <w:rPr>
                <w:rFonts w:ascii="SimSun" w:hAnsi="SimSun" w:eastAsia="SimSun" w:cs="SimSun"/>
                <w:sz w:val="40"/>
                <w:szCs w:val="40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40"/>
                <w:szCs w:val="40"/>
                <w:spacing w:val="22"/>
              </w:rPr>
              <w:t>务费用</w:t>
            </w:r>
          </w:p>
        </w:tc>
      </w:tr>
      <w:tr>
        <w:trPr>
          <w:trHeight w:val="1504" w:hRule="atLeast"/>
        </w:trPr>
        <w:tc>
          <w:tcPr>
            <w:tcW w:w="2513" w:type="dxa"/>
            <w:vAlign w:val="top"/>
          </w:tcPr>
          <w:p>
            <w:pPr>
              <w:spacing w:line="427" w:lineRule="auto"/>
              <w:rPr>
                <w:rFonts w:ascii="Arial"/>
                <w:sz w:val="21"/>
              </w:rPr>
            </w:pPr>
            <w:r/>
          </w:p>
          <w:p>
            <w:pPr>
              <w:ind w:left="539"/>
              <w:spacing w:before="130" w:line="222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10"/>
              </w:rPr>
              <w:t>服务内容</w:t>
            </w:r>
          </w:p>
        </w:tc>
        <w:tc>
          <w:tcPr>
            <w:tcW w:w="4162" w:type="dxa"/>
            <w:vAlign w:val="top"/>
          </w:tcPr>
          <w:p>
            <w:pPr>
              <w:ind w:left="1160"/>
              <w:spacing w:before="116" w:line="542" w:lineRule="exact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9"/>
                <w:position w:val="9"/>
              </w:rPr>
              <w:t>投资规模S</w:t>
            </w:r>
          </w:p>
          <w:p>
            <w:pPr>
              <w:ind w:left="1468"/>
              <w:spacing w:before="1" w:line="222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26"/>
              </w:rPr>
              <w:t>(万元)</w:t>
            </w:r>
          </w:p>
        </w:tc>
        <w:tc>
          <w:tcPr>
            <w:tcW w:w="4778" w:type="dxa"/>
            <w:vAlign w:val="top"/>
          </w:tcPr>
          <w:p>
            <w:pPr>
              <w:ind w:left="1874"/>
              <w:spacing w:before="67" w:line="221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9"/>
              </w:rPr>
              <w:t>基价B</w:t>
            </w:r>
          </w:p>
          <w:p>
            <w:pPr>
              <w:ind w:left="1469"/>
              <w:spacing w:before="111" w:line="222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19"/>
              </w:rPr>
              <w:t>(万元/年)</w:t>
            </w:r>
          </w:p>
        </w:tc>
        <w:tc>
          <w:tcPr>
            <w:tcW w:w="834" w:type="dxa"/>
            <w:vAlign w:val="top"/>
            <w:textDirection w:val="tbRlV"/>
          </w:tcPr>
          <w:p>
            <w:pPr>
              <w:spacing w:before="147" w:line="220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19"/>
              </w:rPr>
              <w:t>序号</w:t>
            </w:r>
          </w:p>
        </w:tc>
        <w:tc>
          <w:tcPr>
            <w:tcW w:w="6175" w:type="dxa"/>
            <w:vAlign w:val="top"/>
          </w:tcPr>
          <w:p>
            <w:pPr>
              <w:spacing w:line="427" w:lineRule="auto"/>
              <w:rPr>
                <w:rFonts w:ascii="Arial"/>
                <w:sz w:val="21"/>
              </w:rPr>
            </w:pPr>
            <w:r/>
          </w:p>
          <w:p>
            <w:pPr>
              <w:ind w:left="1868"/>
              <w:spacing w:before="130" w:line="222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8"/>
              </w:rPr>
              <w:t>复杂调整情形</w:t>
            </w:r>
          </w:p>
        </w:tc>
        <w:tc>
          <w:tcPr>
            <w:tcW w:w="2517" w:type="dxa"/>
            <w:vAlign w:val="top"/>
          </w:tcPr>
          <w:p>
            <w:pPr>
              <w:ind w:left="847" w:right="428" w:hanging="405"/>
              <w:spacing w:before="110" w:line="242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10"/>
              </w:rPr>
              <w:t>调整系数</w:t>
            </w:r>
            <w:r>
              <w:rPr>
                <w:rFonts w:ascii="SimSun" w:hAnsi="SimSun" w:eastAsia="SimSun" w:cs="SimSun"/>
                <w:sz w:val="40"/>
                <w:szCs w:val="40"/>
              </w:rPr>
              <w:t xml:space="preserve"> </w:t>
            </w:r>
            <w:r>
              <w:rPr>
                <w:rFonts w:ascii="SimSun" w:hAnsi="SimSun" w:eastAsia="SimSun" w:cs="SimSun"/>
                <w:sz w:val="40"/>
                <w:szCs w:val="40"/>
                <w:spacing w:val="-19"/>
              </w:rPr>
              <w:t>(β)</w:t>
            </w:r>
          </w:p>
        </w:tc>
        <w:tc>
          <w:tcPr>
            <w:tcW w:w="4440" w:type="dxa"/>
            <w:vAlign w:val="top"/>
          </w:tcPr>
          <w:p>
            <w:pPr>
              <w:spacing w:line="427" w:lineRule="auto"/>
              <w:rPr>
                <w:rFonts w:ascii="Arial"/>
                <w:sz w:val="21"/>
              </w:rPr>
            </w:pPr>
            <w:r/>
          </w:p>
          <w:p>
            <w:pPr>
              <w:ind w:left="1029"/>
              <w:spacing w:before="130" w:line="222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8"/>
              </w:rPr>
              <w:t>综合调整系数</w:t>
            </w:r>
          </w:p>
        </w:tc>
        <w:tc>
          <w:tcPr>
            <w:tcW w:w="1867" w:type="dxa"/>
            <w:vAlign w:val="top"/>
            <w:vMerge w:val="continue"/>
            <w:tcBorders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11" w:hRule="atLeast"/>
        </w:trPr>
        <w:tc>
          <w:tcPr>
            <w:tcW w:w="2513" w:type="dxa"/>
            <w:vAlign w:val="top"/>
            <w:vMerge w:val="restart"/>
            <w:tcBorders>
              <w:bottom w:val="none" w:color="000000" w:sz="2" w:space="0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ind w:left="231"/>
              <w:spacing w:before="130" w:line="541" w:lineRule="exact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position w:val="9"/>
              </w:rPr>
              <w:t>PPP</w:t>
            </w:r>
            <w:r>
              <w:rPr>
                <w:rFonts w:ascii="SimSun" w:hAnsi="SimSun" w:eastAsia="SimSun" w:cs="SimSun"/>
                <w:sz w:val="40"/>
                <w:szCs w:val="40"/>
                <w:spacing w:val="48"/>
                <w:position w:val="9"/>
              </w:rPr>
              <w:t>项目</w:t>
            </w:r>
          </w:p>
          <w:p>
            <w:pPr>
              <w:ind w:left="622"/>
              <w:spacing w:before="1" w:line="222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10"/>
              </w:rPr>
              <w:t>绩效评</w:t>
            </w:r>
          </w:p>
          <w:p>
            <w:pPr>
              <w:ind w:left="592"/>
              <w:spacing w:before="37" w:line="221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</w:rPr>
              <w:t>价</w:t>
            </w:r>
          </w:p>
        </w:tc>
        <w:tc>
          <w:tcPr>
            <w:tcW w:w="4162" w:type="dxa"/>
            <w:vAlign w:val="top"/>
          </w:tcPr>
          <w:p>
            <w:pPr>
              <w:ind w:left="1062"/>
              <w:spacing w:before="262" w:line="219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</w:rPr>
              <w:t>Si</w:t>
            </w:r>
            <w:r>
              <w:rPr>
                <w:rFonts w:ascii="SimSun" w:hAnsi="SimSun" w:eastAsia="SimSun" w:cs="SimSun"/>
                <w:sz w:val="40"/>
                <w:szCs w:val="40"/>
                <w:spacing w:val="1"/>
              </w:rPr>
              <w:t>≤10,000</w:t>
            </w:r>
          </w:p>
        </w:tc>
        <w:tc>
          <w:tcPr>
            <w:tcW w:w="4778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1874"/>
              <w:spacing w:before="130" w:line="185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</w:rPr>
              <w:t>Bi</w:t>
            </w:r>
            <w:r>
              <w:rPr>
                <w:rFonts w:ascii="SimSun" w:hAnsi="SimSun" w:eastAsia="SimSun" w:cs="SimSun"/>
                <w:sz w:val="40"/>
                <w:szCs w:val="40"/>
                <w:spacing w:val="2"/>
              </w:rPr>
              <w:t>=30</w:t>
            </w:r>
          </w:p>
        </w:tc>
        <w:tc>
          <w:tcPr>
            <w:tcW w:w="834" w:type="dxa"/>
            <w:vAlign w:val="top"/>
          </w:tcPr>
          <w:p>
            <w:pPr>
              <w:ind w:left="478"/>
              <w:spacing w:before="370" w:line="186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</w:rPr>
              <w:t>1</w:t>
            </w:r>
          </w:p>
        </w:tc>
        <w:tc>
          <w:tcPr>
            <w:tcW w:w="6175" w:type="dxa"/>
            <w:vAlign w:val="top"/>
          </w:tcPr>
          <w:p>
            <w:pPr>
              <w:ind w:left="1966"/>
              <w:spacing w:before="267" w:line="222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8"/>
              </w:rPr>
              <w:t>子项目≥3个</w:t>
            </w:r>
          </w:p>
        </w:tc>
        <w:tc>
          <w:tcPr>
            <w:tcW w:w="2517" w:type="dxa"/>
            <w:vAlign w:val="top"/>
          </w:tcPr>
          <w:p>
            <w:pPr>
              <w:ind w:left="547"/>
              <w:spacing w:before="297" w:line="236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-11"/>
              </w:rPr>
              <w:t>βi=1.2</w:t>
            </w:r>
          </w:p>
        </w:tc>
        <w:tc>
          <w:tcPr>
            <w:tcW w:w="4440" w:type="dxa"/>
            <w:vAlign w:val="top"/>
            <w:vMerge w:val="restart"/>
            <w:tcBorders>
              <w:bottom w:val="none" w:color="000000" w:sz="2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ind w:left="352" w:right="185" w:firstLine="225"/>
              <w:spacing w:before="130" w:line="259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7"/>
              </w:rPr>
              <w:t>项目内容涵盖多项复</w:t>
            </w:r>
            <w:r>
              <w:rPr>
                <w:rFonts w:ascii="SimSun" w:hAnsi="SimSun" w:eastAsia="SimSun" w:cs="SimSun"/>
                <w:sz w:val="40"/>
                <w:szCs w:val="4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40"/>
                <w:szCs w:val="40"/>
                <w:spacing w:val="7"/>
              </w:rPr>
              <w:t>杂调整情形时，服务</w:t>
            </w:r>
          </w:p>
          <w:p>
            <w:pPr>
              <w:ind w:left="352"/>
              <w:spacing w:before="1" w:line="220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6"/>
              </w:rPr>
              <w:t>费用按基价*[]调整</w:t>
            </w:r>
          </w:p>
          <w:p>
            <w:pPr>
              <w:ind w:left="352"/>
              <w:spacing w:before="81" w:line="566" w:lineRule="exact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8"/>
                <w:position w:val="11"/>
              </w:rPr>
              <w:t>系数计算，即服务费</w:t>
            </w:r>
          </w:p>
          <w:p>
            <w:pPr>
              <w:ind w:left="360"/>
              <w:spacing w:line="223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6"/>
              </w:rPr>
              <w:t>用=B*β1*β2*β3</w:t>
            </w:r>
            <w:r>
              <w:rPr>
                <w:rFonts w:ascii="SimSun" w:hAnsi="SimSun" w:eastAsia="SimSun" w:cs="SimSun"/>
                <w:sz w:val="40"/>
                <w:szCs w:val="40"/>
                <w:spacing w:val="-151"/>
              </w:rPr>
              <w:t xml:space="preserve"> </w:t>
            </w:r>
            <w:r>
              <w:rPr>
                <w:rFonts w:ascii="SimSun" w:hAnsi="SimSun" w:eastAsia="SimSun" w:cs="SimSun"/>
                <w:sz w:val="40"/>
                <w:szCs w:val="40"/>
                <w:spacing w:val="6"/>
              </w:rPr>
              <w:t>…</w:t>
            </w:r>
          </w:p>
        </w:tc>
        <w:tc>
          <w:tcPr>
            <w:tcW w:w="1867" w:type="dxa"/>
            <w:vAlign w:val="top"/>
            <w:vMerge w:val="restart"/>
            <w:tcBorders>
              <w:bottom w:val="none" w:color="000000" w:sz="2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458" w:right="152"/>
              <w:spacing w:before="130" w:line="259" w:lineRule="auto"/>
              <w:jc w:val="both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11"/>
              </w:rPr>
              <w:t>项目涉</w:t>
            </w:r>
            <w:r>
              <w:rPr>
                <w:rFonts w:ascii="SimSun" w:hAnsi="SimSun" w:eastAsia="SimSun" w:cs="SimSun"/>
                <w:sz w:val="40"/>
                <w:szCs w:val="40"/>
              </w:rPr>
              <w:t xml:space="preserve"> </w:t>
            </w:r>
            <w:r>
              <w:rPr>
                <w:rFonts w:ascii="SimSun" w:hAnsi="SimSun" w:eastAsia="SimSun" w:cs="SimSun"/>
                <w:sz w:val="40"/>
                <w:szCs w:val="40"/>
                <w:spacing w:val="12"/>
              </w:rPr>
              <w:t>及需要</w:t>
            </w:r>
            <w:r>
              <w:rPr>
                <w:rFonts w:ascii="SimSun" w:hAnsi="SimSun" w:eastAsia="SimSun" w:cs="SimSun"/>
                <w:sz w:val="40"/>
                <w:szCs w:val="40"/>
              </w:rPr>
              <w:t xml:space="preserve"> </w:t>
            </w:r>
            <w:r>
              <w:rPr>
                <w:rFonts w:ascii="SimSun" w:hAnsi="SimSun" w:eastAsia="SimSun" w:cs="SimSun"/>
                <w:sz w:val="40"/>
                <w:szCs w:val="40"/>
                <w:spacing w:val="16"/>
              </w:rPr>
              <w:t>提供的</w:t>
            </w:r>
            <w:r>
              <w:rPr>
                <w:rFonts w:ascii="SimSun" w:hAnsi="SimSun" w:eastAsia="SimSun" w:cs="SimSun"/>
                <w:sz w:val="40"/>
                <w:szCs w:val="40"/>
              </w:rPr>
              <w:t xml:space="preserve"> </w:t>
            </w:r>
            <w:r>
              <w:rPr>
                <w:rFonts w:ascii="SimSun" w:hAnsi="SimSun" w:eastAsia="SimSun" w:cs="SimSun"/>
                <w:sz w:val="40"/>
                <w:szCs w:val="40"/>
                <w:spacing w:val="16"/>
              </w:rPr>
              <w:t>其他增</w:t>
            </w:r>
          </w:p>
          <w:p>
            <w:pPr>
              <w:ind w:left="458"/>
              <w:spacing w:before="2" w:line="221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12"/>
              </w:rPr>
              <w:t>值服务</w:t>
            </w:r>
          </w:p>
        </w:tc>
      </w:tr>
      <w:tr>
        <w:trPr>
          <w:trHeight w:val="896" w:hRule="atLeast"/>
        </w:trPr>
        <w:tc>
          <w:tcPr>
            <w:tcW w:w="2513" w:type="dxa"/>
            <w:vAlign w:val="top"/>
            <w:vMerge w:val="continue"/>
            <w:tcBorders>
              <w:top w:val="none" w:color="000000" w:sz="2" w:space="0"/>
              <w:bottom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62" w:type="dxa"/>
            <w:vAlign w:val="top"/>
          </w:tcPr>
          <w:p>
            <w:pPr>
              <w:ind w:left="348"/>
              <w:spacing w:before="255" w:line="219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</w:rPr>
              <w:t>10,000&lt;Sz≤50,000</w:t>
            </w:r>
          </w:p>
        </w:tc>
        <w:tc>
          <w:tcPr>
            <w:tcW w:w="4778" w:type="dxa"/>
            <w:vAlign w:val="top"/>
          </w:tcPr>
          <w:p>
            <w:pPr>
              <w:ind w:left="154"/>
              <w:spacing w:before="267" w:line="225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3"/>
              </w:rPr>
              <w:t>B2=</w:t>
            </w:r>
            <w:r>
              <w:rPr>
                <w:rFonts w:ascii="SimSun" w:hAnsi="SimSun" w:eastAsia="SimSun" w:cs="SimSun"/>
                <w:sz w:val="40"/>
                <w:szCs w:val="40"/>
                <w:spacing w:val="50"/>
              </w:rPr>
              <w:t xml:space="preserve"> </w:t>
            </w:r>
            <w:r>
              <w:rPr>
                <w:rFonts w:ascii="SimSun" w:hAnsi="SimSun" w:eastAsia="SimSun" w:cs="SimSun"/>
                <w:sz w:val="40"/>
                <w:szCs w:val="40"/>
              </w:rPr>
              <w:t>Bi</w:t>
            </w:r>
            <w:r>
              <w:rPr>
                <w:rFonts w:ascii="SimSun" w:hAnsi="SimSun" w:eastAsia="SimSun" w:cs="SimSun"/>
                <w:sz w:val="40"/>
                <w:szCs w:val="40"/>
                <w:spacing w:val="3"/>
              </w:rPr>
              <w:t>+(S2~</w:t>
            </w:r>
            <w:r>
              <w:rPr>
                <w:rFonts w:ascii="SimSun" w:hAnsi="SimSun" w:eastAsia="SimSun" w:cs="SimSun"/>
                <w:sz w:val="40"/>
                <w:szCs w:val="40"/>
              </w:rPr>
              <w:t>Si</w:t>
            </w:r>
            <w:r>
              <w:rPr>
                <w:rFonts w:ascii="SimSun" w:hAnsi="SimSun" w:eastAsia="SimSun" w:cs="SimSun"/>
                <w:sz w:val="40"/>
                <w:szCs w:val="40"/>
                <w:spacing w:val="3"/>
              </w:rPr>
              <w:t>)*0.125‰</w:t>
            </w:r>
          </w:p>
        </w:tc>
        <w:tc>
          <w:tcPr>
            <w:tcW w:w="834" w:type="dxa"/>
            <w:vAlign w:val="top"/>
          </w:tcPr>
          <w:p>
            <w:pPr>
              <w:ind w:left="478"/>
              <w:spacing w:before="365" w:line="185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</w:rPr>
              <w:t>2</w:t>
            </w:r>
          </w:p>
        </w:tc>
        <w:tc>
          <w:tcPr>
            <w:tcW w:w="6175" w:type="dxa"/>
            <w:vAlign w:val="top"/>
          </w:tcPr>
          <w:p>
            <w:pPr>
              <w:ind w:left="651"/>
              <w:spacing w:before="261" w:line="222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7"/>
              </w:rPr>
              <w:t>涵盖两个以上二级行业领域</w:t>
            </w:r>
          </w:p>
        </w:tc>
        <w:tc>
          <w:tcPr>
            <w:tcW w:w="2517" w:type="dxa"/>
            <w:vAlign w:val="top"/>
          </w:tcPr>
          <w:p>
            <w:pPr>
              <w:ind w:left="547"/>
              <w:spacing w:before="290" w:line="236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-14"/>
              </w:rPr>
              <w:t>βz=1.4</w:t>
            </w:r>
          </w:p>
        </w:tc>
        <w:tc>
          <w:tcPr>
            <w:tcW w:w="4440" w:type="dxa"/>
            <w:vAlign w:val="top"/>
            <w:vMerge w:val="continue"/>
            <w:tcBorders>
              <w:top w:val="none" w:color="000000" w:sz="2" w:space="0"/>
              <w:bottom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67" w:type="dxa"/>
            <w:vAlign w:val="top"/>
            <w:vMerge w:val="continue"/>
            <w:tcBorders>
              <w:top w:val="none" w:color="000000" w:sz="2" w:space="0"/>
              <w:bottom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34" w:hRule="atLeast"/>
        </w:trPr>
        <w:tc>
          <w:tcPr>
            <w:tcW w:w="2513" w:type="dxa"/>
            <w:vAlign w:val="top"/>
            <w:vMerge w:val="continue"/>
            <w:tcBorders>
              <w:top w:val="none" w:color="000000" w:sz="2" w:space="0"/>
              <w:bottom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62" w:type="dxa"/>
            <w:vAlign w:val="top"/>
            <w:vMerge w:val="restart"/>
            <w:tcBorders>
              <w:bottom w:val="none" w:color="000000" w:sz="2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ind w:left="145"/>
              <w:spacing w:before="130" w:line="219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-1"/>
              </w:rPr>
              <w:t>50,000&lt;S</w:t>
            </w:r>
            <w:r>
              <w:rPr>
                <w:rFonts w:ascii="Calibri" w:hAnsi="Calibri" w:eastAsia="Calibri" w:cs="Calibri"/>
                <w:sz w:val="40"/>
                <w:szCs w:val="40"/>
                <w:spacing w:val="-1"/>
              </w:rPr>
              <w:t>₃</w:t>
            </w:r>
            <w:r>
              <w:rPr>
                <w:rFonts w:ascii="Calibri" w:hAnsi="Calibri" w:eastAsia="Calibri" w:cs="Calibri"/>
                <w:sz w:val="40"/>
                <w:szCs w:val="40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sz w:val="40"/>
                <w:szCs w:val="40"/>
                <w:spacing w:val="-1"/>
              </w:rPr>
              <w:t>≤100,000</w:t>
            </w:r>
          </w:p>
        </w:tc>
        <w:tc>
          <w:tcPr>
            <w:tcW w:w="4778" w:type="dxa"/>
            <w:vAlign w:val="top"/>
            <w:vMerge w:val="restart"/>
            <w:tcBorders>
              <w:bottom w:val="none" w:color="000000" w:sz="2" w:space="0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ind w:left="454"/>
              <w:spacing w:before="130" w:line="221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3"/>
              </w:rPr>
              <w:t>B</w:t>
            </w:r>
            <w:r>
              <w:rPr>
                <w:rFonts w:ascii="Calibri" w:hAnsi="Calibri" w:eastAsia="Calibri" w:cs="Calibri"/>
                <w:sz w:val="40"/>
                <w:szCs w:val="40"/>
                <w:spacing w:val="3"/>
              </w:rPr>
              <w:t>₃</w:t>
            </w:r>
            <w:r>
              <w:rPr>
                <w:rFonts w:ascii="SimSun" w:hAnsi="SimSun" w:eastAsia="SimSun" w:cs="SimSun"/>
                <w:sz w:val="40"/>
                <w:szCs w:val="40"/>
                <w:spacing w:val="3"/>
              </w:rPr>
              <w:t>=B2+(S3-S2)*0.1%</w:t>
            </w:r>
          </w:p>
        </w:tc>
        <w:tc>
          <w:tcPr>
            <w:tcW w:w="834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left="478"/>
              <w:spacing w:before="130" w:line="185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</w:rPr>
              <w:t>3</w:t>
            </w:r>
          </w:p>
        </w:tc>
        <w:tc>
          <w:tcPr>
            <w:tcW w:w="6175" w:type="dxa"/>
            <w:vAlign w:val="top"/>
          </w:tcPr>
          <w:p>
            <w:pPr>
              <w:ind w:left="854"/>
              <w:spacing w:before="141" w:line="222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8"/>
              </w:rPr>
              <w:t>跨行政区域或跨行政层级</w:t>
            </w:r>
          </w:p>
        </w:tc>
        <w:tc>
          <w:tcPr>
            <w:tcW w:w="2517" w:type="dxa"/>
            <w:vAlign w:val="top"/>
          </w:tcPr>
          <w:p>
            <w:pPr>
              <w:ind w:left="547"/>
              <w:spacing w:before="306" w:line="236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-11"/>
              </w:rPr>
              <w:t>β3=1.2</w:t>
            </w:r>
          </w:p>
        </w:tc>
        <w:tc>
          <w:tcPr>
            <w:tcW w:w="4440" w:type="dxa"/>
            <w:vAlign w:val="top"/>
            <w:vMerge w:val="continue"/>
            <w:tcBorders>
              <w:top w:val="none" w:color="000000" w:sz="2" w:space="0"/>
              <w:bottom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67" w:type="dxa"/>
            <w:vAlign w:val="top"/>
            <w:vMerge w:val="continue"/>
            <w:tcBorders>
              <w:top w:val="none" w:color="000000" w:sz="2" w:space="0"/>
              <w:bottom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88" w:hRule="atLeast"/>
        </w:trPr>
        <w:tc>
          <w:tcPr>
            <w:tcW w:w="2513" w:type="dxa"/>
            <w:vAlign w:val="top"/>
            <w:vMerge w:val="continue"/>
            <w:tcBorders>
              <w:top w:val="none" w:color="000000" w:sz="2" w:space="0"/>
              <w:bottom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62" w:type="dxa"/>
            <w:vAlign w:val="top"/>
            <w:vMerge w:val="continue"/>
            <w:tcBorders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78" w:type="dxa"/>
            <w:vAlign w:val="top"/>
            <w:vMerge w:val="continue"/>
            <w:tcBorders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4" w:type="dxa"/>
            <w:vAlign w:val="top"/>
          </w:tcPr>
          <w:p>
            <w:pPr>
              <w:ind w:left="478"/>
              <w:spacing w:before="359" w:line="185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</w:rPr>
              <w:t>4</w:t>
            </w:r>
          </w:p>
        </w:tc>
        <w:tc>
          <w:tcPr>
            <w:tcW w:w="6175" w:type="dxa"/>
            <w:vAlign w:val="top"/>
          </w:tcPr>
          <w:p>
            <w:pPr>
              <w:ind w:left="854"/>
              <w:spacing w:before="255" w:line="223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7"/>
              </w:rPr>
              <w:t>项目调研广度与深度要求</w:t>
            </w:r>
          </w:p>
        </w:tc>
        <w:tc>
          <w:tcPr>
            <w:tcW w:w="2517" w:type="dxa"/>
            <w:vAlign w:val="top"/>
          </w:tcPr>
          <w:p>
            <w:pPr>
              <w:ind w:left="442"/>
              <w:spacing w:before="104" w:line="222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-10"/>
              </w:rPr>
              <w:t>β</w:t>
            </w:r>
            <w:r>
              <w:rPr>
                <w:rFonts w:ascii="Calibri" w:hAnsi="Calibri" w:eastAsia="Calibri" w:cs="Calibri"/>
                <w:sz w:val="40"/>
                <w:szCs w:val="40"/>
                <w:spacing w:val="-10"/>
              </w:rPr>
              <w:t>₄</w:t>
            </w:r>
            <w:r>
              <w:rPr>
                <w:rFonts w:ascii="SimSun" w:hAnsi="SimSun" w:eastAsia="SimSun" w:cs="SimSun"/>
                <w:sz w:val="40"/>
                <w:szCs w:val="40"/>
                <w:spacing w:val="-10"/>
              </w:rPr>
              <w:t>=1.3</w:t>
            </w:r>
          </w:p>
        </w:tc>
        <w:tc>
          <w:tcPr>
            <w:tcW w:w="4440" w:type="dxa"/>
            <w:vAlign w:val="top"/>
            <w:vMerge w:val="continue"/>
            <w:tcBorders>
              <w:top w:val="none" w:color="000000" w:sz="2" w:space="0"/>
              <w:bottom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67" w:type="dxa"/>
            <w:vAlign w:val="top"/>
            <w:vMerge w:val="continue"/>
            <w:tcBorders>
              <w:top w:val="none" w:color="000000" w:sz="2" w:space="0"/>
              <w:bottom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19" w:hRule="atLeast"/>
        </w:trPr>
        <w:tc>
          <w:tcPr>
            <w:tcW w:w="2513" w:type="dxa"/>
            <w:vAlign w:val="top"/>
            <w:vMerge w:val="continue"/>
            <w:tcBorders>
              <w:top w:val="none" w:color="000000" w:sz="2" w:space="0"/>
              <w:bottom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62" w:type="dxa"/>
            <w:vAlign w:val="top"/>
            <w:vMerge w:val="restart"/>
            <w:tcBorders>
              <w:bottom w:val="none" w:color="000000" w:sz="2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ind w:left="1062"/>
              <w:spacing w:before="130" w:line="219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1"/>
              </w:rPr>
              <w:t>S4&gt;100,000</w:t>
            </w:r>
          </w:p>
        </w:tc>
        <w:tc>
          <w:tcPr>
            <w:tcW w:w="4778" w:type="dxa"/>
            <w:vAlign w:val="top"/>
            <w:vMerge w:val="restart"/>
            <w:tcBorders>
              <w:bottom w:val="none" w:color="000000" w:sz="2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ind w:left="154"/>
              <w:spacing w:before="130" w:line="221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2"/>
              </w:rPr>
              <w:t>B</w:t>
            </w:r>
            <w:r>
              <w:rPr>
                <w:rFonts w:ascii="Calibri" w:hAnsi="Calibri" w:eastAsia="Calibri" w:cs="Calibri"/>
                <w:sz w:val="40"/>
                <w:szCs w:val="40"/>
                <w:spacing w:val="2"/>
              </w:rPr>
              <w:t>₄</w:t>
            </w:r>
            <w:r>
              <w:rPr>
                <w:rFonts w:ascii="SimSun" w:hAnsi="SimSun" w:eastAsia="SimSun" w:cs="SimSun"/>
                <w:sz w:val="40"/>
                <w:szCs w:val="40"/>
                <w:spacing w:val="2"/>
              </w:rPr>
              <w:t>=B</w:t>
            </w:r>
            <w:r>
              <w:rPr>
                <w:rFonts w:ascii="Calibri" w:hAnsi="Calibri" w:eastAsia="Calibri" w:cs="Calibri"/>
                <w:sz w:val="40"/>
                <w:szCs w:val="40"/>
                <w:spacing w:val="2"/>
              </w:rPr>
              <w:t>₃</w:t>
            </w:r>
            <w:r>
              <w:rPr>
                <w:rFonts w:ascii="SimSun" w:hAnsi="SimSun" w:eastAsia="SimSun" w:cs="SimSun"/>
                <w:sz w:val="40"/>
                <w:szCs w:val="40"/>
                <w:spacing w:val="2"/>
              </w:rPr>
              <w:t>+(S4-S</w:t>
            </w:r>
            <w:r>
              <w:rPr>
                <w:rFonts w:ascii="Calibri" w:hAnsi="Calibri" w:eastAsia="Calibri" w:cs="Calibri"/>
                <w:sz w:val="40"/>
                <w:szCs w:val="40"/>
                <w:spacing w:val="2"/>
              </w:rPr>
              <w:t>₃</w:t>
            </w:r>
            <w:r>
              <w:rPr>
                <w:rFonts w:ascii="SimSun" w:hAnsi="SimSun" w:eastAsia="SimSun" w:cs="SimSun"/>
                <w:sz w:val="40"/>
                <w:szCs w:val="40"/>
                <w:spacing w:val="2"/>
              </w:rPr>
              <w:t>)*0.08%</w:t>
            </w:r>
          </w:p>
        </w:tc>
        <w:tc>
          <w:tcPr>
            <w:tcW w:w="834" w:type="dxa"/>
            <w:vAlign w:val="top"/>
          </w:tcPr>
          <w:p>
            <w:pPr>
              <w:ind w:left="478"/>
              <w:spacing w:before="205" w:line="184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</w:rPr>
              <w:t>5</w:t>
            </w:r>
          </w:p>
        </w:tc>
        <w:tc>
          <w:tcPr>
            <w:tcW w:w="6175" w:type="dxa"/>
            <w:vAlign w:val="top"/>
          </w:tcPr>
          <w:p>
            <w:pPr>
              <w:ind w:left="1763"/>
              <w:spacing w:before="267" w:line="221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9"/>
              </w:rPr>
              <w:t>年评价次数N&gt;1</w:t>
            </w:r>
          </w:p>
        </w:tc>
        <w:tc>
          <w:tcPr>
            <w:tcW w:w="2517" w:type="dxa"/>
            <w:vAlign w:val="top"/>
          </w:tcPr>
          <w:p>
            <w:pPr>
              <w:ind w:left="36"/>
              <w:spacing w:before="270" w:line="221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-11"/>
              </w:rPr>
              <w:t>β</w:t>
            </w:r>
            <w:r>
              <w:rPr>
                <w:rFonts w:ascii="Calibri" w:hAnsi="Calibri" w:eastAsia="Calibri" w:cs="Calibri"/>
                <w:sz w:val="40"/>
                <w:szCs w:val="40"/>
                <w:spacing w:val="-11"/>
              </w:rPr>
              <w:t>₅</w:t>
            </w:r>
            <w:r>
              <w:rPr>
                <w:rFonts w:ascii="Calibri" w:hAnsi="Calibri" w:eastAsia="Calibri" w:cs="Calibri"/>
                <w:sz w:val="40"/>
                <w:szCs w:val="40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40"/>
                <w:szCs w:val="40"/>
                <w:spacing w:val="-11"/>
              </w:rPr>
              <w:t>≈1+0.1N</w:t>
            </w:r>
          </w:p>
        </w:tc>
        <w:tc>
          <w:tcPr>
            <w:tcW w:w="4440" w:type="dxa"/>
            <w:vAlign w:val="top"/>
            <w:vMerge w:val="continue"/>
            <w:tcBorders>
              <w:top w:val="none" w:color="000000" w:sz="2" w:space="0"/>
              <w:bottom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67" w:type="dxa"/>
            <w:vAlign w:val="top"/>
            <w:vMerge w:val="continue"/>
            <w:tcBorders>
              <w:top w:val="none" w:color="000000" w:sz="2" w:space="0"/>
              <w:bottom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2" w:hRule="atLeast"/>
        </w:trPr>
        <w:tc>
          <w:tcPr>
            <w:tcW w:w="2513" w:type="dxa"/>
            <w:vAlign w:val="top"/>
            <w:vMerge w:val="continue"/>
            <w:tcBorders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62" w:type="dxa"/>
            <w:vAlign w:val="top"/>
            <w:vMerge w:val="continue"/>
            <w:tcBorders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78" w:type="dxa"/>
            <w:vAlign w:val="top"/>
            <w:vMerge w:val="continue"/>
            <w:tcBorders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4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left="478"/>
              <w:spacing w:before="130" w:line="185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</w:rPr>
              <w:t>6</w:t>
            </w:r>
          </w:p>
        </w:tc>
        <w:tc>
          <w:tcPr>
            <w:tcW w:w="6175" w:type="dxa"/>
            <w:vAlign w:val="top"/>
          </w:tcPr>
          <w:p>
            <w:pPr>
              <w:ind w:left="448"/>
              <w:spacing w:before="301" w:line="222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7"/>
              </w:rPr>
              <w:t>其他复杂情形，双方另行约定</w:t>
            </w:r>
          </w:p>
        </w:tc>
        <w:tc>
          <w:tcPr>
            <w:tcW w:w="2517" w:type="dxa"/>
            <w:vAlign w:val="top"/>
          </w:tcPr>
          <w:p>
            <w:pPr>
              <w:ind w:left="750"/>
              <w:spacing w:before="330" w:line="236" w:lineRule="auto"/>
              <w:rPr>
                <w:rFonts w:ascii="SimSun" w:hAnsi="SimSun" w:eastAsia="SimSun" w:cs="SimSun"/>
                <w:sz w:val="40"/>
                <w:szCs w:val="40"/>
              </w:rPr>
            </w:pPr>
            <w:r>
              <w:rPr>
                <w:rFonts w:ascii="SimSun" w:hAnsi="SimSun" w:eastAsia="SimSun" w:cs="SimSun"/>
                <w:sz w:val="40"/>
                <w:szCs w:val="40"/>
                <w:spacing w:val="-18"/>
              </w:rPr>
              <w:t>β6=X</w:t>
            </w:r>
          </w:p>
        </w:tc>
        <w:tc>
          <w:tcPr>
            <w:tcW w:w="4440" w:type="dxa"/>
            <w:vAlign w:val="top"/>
            <w:vMerge w:val="continue"/>
            <w:tcBorders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67" w:type="dxa"/>
            <w:vAlign w:val="top"/>
            <w:vMerge w:val="continue"/>
            <w:tcBorders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before="169" w:line="221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-1"/>
        </w:rPr>
        <w:t>说明：</w:t>
      </w:r>
    </w:p>
    <w:p>
      <w:pPr>
        <w:ind w:left="1277"/>
        <w:spacing w:before="206" w:line="804" w:lineRule="exact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5"/>
          <w:position w:val="19"/>
        </w:rPr>
        <w:t>1.</w:t>
      </w:r>
      <w:r>
        <w:rPr>
          <w:rFonts w:ascii="SimSun" w:hAnsi="SimSun" w:eastAsia="SimSun" w:cs="SimSun"/>
          <w:sz w:val="52"/>
          <w:szCs w:val="52"/>
          <w:position w:val="19"/>
        </w:rPr>
        <w:t>PPP</w:t>
      </w:r>
      <w:r>
        <w:rPr>
          <w:rFonts w:ascii="SimSun" w:hAnsi="SimSun" w:eastAsia="SimSun" w:cs="SimSun"/>
          <w:sz w:val="52"/>
          <w:szCs w:val="52"/>
          <w:spacing w:val="45"/>
          <w:position w:val="19"/>
        </w:rPr>
        <w:t>项目绩效评价服务费用=</w:t>
      </w:r>
      <w:r>
        <w:rPr>
          <w:rFonts w:ascii="SimSun" w:hAnsi="SimSun" w:eastAsia="SimSun" w:cs="SimSun"/>
          <w:sz w:val="52"/>
          <w:szCs w:val="52"/>
          <w:position w:val="19"/>
        </w:rPr>
        <w:t>PPP</w:t>
      </w:r>
      <w:r>
        <w:rPr>
          <w:rFonts w:ascii="SimSun" w:hAnsi="SimSun" w:eastAsia="SimSun" w:cs="SimSun"/>
          <w:sz w:val="52"/>
          <w:szCs w:val="52"/>
          <w:spacing w:val="45"/>
          <w:position w:val="19"/>
        </w:rPr>
        <w:t>项目绩效评价服务基价×项目复杂调整系</w:t>
      </w:r>
      <w:r>
        <w:rPr>
          <w:rFonts w:ascii="SimSun" w:hAnsi="SimSun" w:eastAsia="SimSun" w:cs="SimSun"/>
          <w:sz w:val="52"/>
          <w:szCs w:val="52"/>
          <w:spacing w:val="44"/>
          <w:position w:val="19"/>
        </w:rPr>
        <w:t>+其他服务费；</w:t>
      </w:r>
    </w:p>
    <w:p>
      <w:pPr>
        <w:ind w:left="1277"/>
        <w:spacing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1"/>
        </w:rPr>
        <w:t>2.其他服务费是指</w:t>
      </w:r>
      <w:r>
        <w:rPr>
          <w:rFonts w:ascii="SimSun" w:hAnsi="SimSun" w:eastAsia="SimSun" w:cs="SimSun"/>
          <w:sz w:val="52"/>
          <w:szCs w:val="52"/>
        </w:rPr>
        <w:t>PPP</w:t>
      </w:r>
      <w:r>
        <w:rPr>
          <w:rFonts w:ascii="SimSun" w:hAnsi="SimSun" w:eastAsia="SimSun" w:cs="SimSun"/>
          <w:sz w:val="52"/>
          <w:szCs w:val="52"/>
          <w:spacing w:val="41"/>
        </w:rPr>
        <w:t>项目绩效评价服务范围以外，双方商定的其他增值服务内容收费；</w:t>
      </w:r>
    </w:p>
    <w:p>
      <w:pPr>
        <w:ind w:right="161"/>
        <w:spacing w:before="184" w:line="220" w:lineRule="auto"/>
        <w:jc w:val="right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54"/>
        </w:rPr>
        <w:t>3.</w:t>
      </w:r>
      <w:r>
        <w:rPr>
          <w:rFonts w:ascii="SimSun" w:hAnsi="SimSun" w:eastAsia="SimSun" w:cs="SimSun"/>
          <w:sz w:val="52"/>
          <w:szCs w:val="52"/>
        </w:rPr>
        <w:t>PPP</w:t>
      </w:r>
      <w:r>
        <w:rPr>
          <w:rFonts w:ascii="SimSun" w:hAnsi="SimSun" w:eastAsia="SimSun" w:cs="SimSun"/>
          <w:sz w:val="52"/>
          <w:szCs w:val="52"/>
          <w:spacing w:val="54"/>
        </w:rPr>
        <w:t>项目绩效评价服务基础价格按项目投资规模差额费率分档累进计算，基础价格B不应超过60</w:t>
      </w:r>
      <w:r>
        <w:rPr>
          <w:rFonts w:ascii="SimSun" w:hAnsi="SimSun" w:eastAsia="SimSun" w:cs="SimSun"/>
          <w:sz w:val="52"/>
          <w:szCs w:val="52"/>
          <w:spacing w:val="31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54"/>
        </w:rPr>
        <w:t>万元；</w:t>
      </w:r>
    </w:p>
    <w:p>
      <w:pPr>
        <w:spacing w:before="184" w:line="808" w:lineRule="exact"/>
        <w:jc w:val="right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0"/>
          <w:position w:val="20"/>
        </w:rPr>
        <w:t>4.</w:t>
      </w:r>
      <w:r>
        <w:rPr>
          <w:rFonts w:ascii="SimSun" w:hAnsi="SimSun" w:eastAsia="SimSun" w:cs="SimSun"/>
          <w:sz w:val="52"/>
          <w:szCs w:val="52"/>
          <w:position w:val="20"/>
        </w:rPr>
        <w:t>PPP</w:t>
      </w:r>
      <w:r>
        <w:rPr>
          <w:rFonts w:ascii="SimSun" w:hAnsi="SimSun" w:eastAsia="SimSun" w:cs="SimSun"/>
          <w:sz w:val="52"/>
          <w:szCs w:val="52"/>
          <w:spacing w:val="40"/>
          <w:position w:val="20"/>
        </w:rPr>
        <w:t>项目绩效评价实际服务费可根据服务机构的资信、品牌、业绩</w:t>
      </w:r>
      <w:r>
        <w:rPr>
          <w:rFonts w:ascii="SimSun" w:hAnsi="SimSun" w:eastAsia="SimSun" w:cs="SimSun"/>
          <w:sz w:val="52"/>
          <w:szCs w:val="52"/>
          <w:spacing w:val="39"/>
          <w:position w:val="20"/>
        </w:rPr>
        <w:t>等在本计算表服务费的基础上浮动±20%</w:t>
      </w:r>
    </w:p>
    <w:p>
      <w:pPr>
        <w:ind w:left="1878"/>
        <w:spacing w:before="1" w:line="221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19"/>
        </w:rPr>
        <w:t>的区间内协商约定。</w:t>
      </w:r>
    </w:p>
    <w:sectPr>
      <w:pgSz w:w="31680" w:h="22438"/>
      <w:pgMar w:top="1907" w:right="2430" w:bottom="0" w:left="163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2022-12-02T16:55:52Z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2022-12-02T16:55:52</vt:filetime>
  </property>
  <property fmtid="{D5CDD505-2E9C-101B-9397-08002B2CF9AE}" pid="4" name="UsrData">
    <vt:lpwstr>6389bd88c1ea6f0016df3aeb</vt:lpwstr>
  </property>
</Properties>
</file>