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F3C0FF">
      <w:pPr>
        <w:pStyle w:val="4"/>
        <w:keepNext/>
        <w:keepLines/>
        <w:pageBreakBefore w:val="0"/>
        <w:widowControl w:val="0"/>
        <w:kinsoku/>
        <w:wordWrap/>
        <w:overflowPunct/>
        <w:topLinePunct w:val="0"/>
        <w:autoSpaceDE/>
        <w:autoSpaceDN/>
        <w:bidi w:val="0"/>
        <w:adjustRightInd/>
        <w:snapToGrid/>
        <w:spacing w:line="360" w:lineRule="auto"/>
        <w:ind w:right="334"/>
        <w:jc w:val="center"/>
        <w:textAlignment w:val="auto"/>
        <w:rPr>
          <w:b w:val="0"/>
          <w:bCs w:val="0"/>
        </w:rPr>
      </w:pPr>
      <w:bookmarkStart w:id="0" w:name="_GoBack"/>
      <w:bookmarkEnd w:id="0"/>
      <w:r>
        <w:t>关于河道管理范围内建设项目防洪影响咨询服务费计列的</w:t>
      </w:r>
    </w:p>
    <w:p w14:paraId="2A3EA7F6">
      <w:pPr>
        <w:ind w:left="337" w:right="337"/>
        <w:jc w:val="center"/>
        <w:rPr>
          <w:rFonts w:ascii="宋体" w:hAnsi="宋体" w:cs="宋体"/>
          <w:sz w:val="32"/>
          <w:szCs w:val="32"/>
        </w:rPr>
      </w:pPr>
      <w:r>
        <w:rPr>
          <w:rFonts w:ascii="宋体" w:hAnsi="宋体" w:cs="宋体"/>
          <w:b/>
          <w:bCs/>
          <w:sz w:val="32"/>
          <w:szCs w:val="32"/>
        </w:rPr>
        <w:t>指导意见</w:t>
      </w:r>
    </w:p>
    <w:p w14:paraId="51A48A3F">
      <w:pPr>
        <w:pStyle w:val="5"/>
        <w:keepNext w:val="0"/>
        <w:keepLines w:val="0"/>
        <w:pageBreakBefore w:val="0"/>
        <w:widowControl w:val="0"/>
        <w:kinsoku/>
        <w:wordWrap/>
        <w:overflowPunct/>
        <w:topLinePunct w:val="0"/>
        <w:autoSpaceDE/>
        <w:autoSpaceDN/>
        <w:bidi w:val="0"/>
        <w:adjustRightInd/>
        <w:snapToGrid/>
        <w:spacing w:after="0" w:line="360" w:lineRule="auto"/>
        <w:ind w:left="221" w:right="204" w:firstLine="560" w:firstLineChars="200"/>
        <w:textAlignment w:val="auto"/>
        <w:rPr>
          <w:sz w:val="28"/>
          <w:szCs w:val="28"/>
        </w:rPr>
      </w:pPr>
      <w:r>
        <w:rPr>
          <w:sz w:val="28"/>
          <w:szCs w:val="28"/>
        </w:rPr>
        <w:t>一、缘由</w:t>
      </w:r>
    </w:p>
    <w:p w14:paraId="065C03E6">
      <w:pPr>
        <w:pStyle w:val="5"/>
        <w:keepNext w:val="0"/>
        <w:keepLines w:val="0"/>
        <w:pageBreakBefore w:val="0"/>
        <w:widowControl w:val="0"/>
        <w:kinsoku/>
        <w:wordWrap/>
        <w:overflowPunct/>
        <w:topLinePunct w:val="0"/>
        <w:autoSpaceDE/>
        <w:autoSpaceDN/>
        <w:bidi w:val="0"/>
        <w:adjustRightInd/>
        <w:snapToGrid/>
        <w:spacing w:after="0" w:line="360" w:lineRule="auto"/>
        <w:ind w:left="221" w:right="204" w:firstLine="560" w:firstLineChars="200"/>
        <w:textAlignment w:val="auto"/>
        <w:rPr>
          <w:sz w:val="28"/>
          <w:szCs w:val="28"/>
        </w:rPr>
      </w:pPr>
      <w:r>
        <w:rPr>
          <w:sz w:val="28"/>
          <w:szCs w:val="28"/>
        </w:rPr>
        <w:t>目前，由于我国尚未出台统一的涉河项目防洪影响咨询服务费标准，只能通过相互协商确定咨询服务费用。一些咨询服务单位为了争取项目，相互压价，恶性竞争，直接影响了咨询服务的质量，也影响了水利部门的对外形象。为规范涉河建设项目防洪影响咨询收费行为，提高涉河建设项目防洪影响咨询工作质量， 促进涉河建设项目防洪影响咨询业的健康和谐发展，特制订涉河建设项目防洪影响咨询服务费计列的指导意见。</w:t>
      </w:r>
    </w:p>
    <w:p w14:paraId="69665B50">
      <w:pPr>
        <w:pStyle w:val="5"/>
        <w:keepNext w:val="0"/>
        <w:keepLines w:val="0"/>
        <w:pageBreakBefore w:val="0"/>
        <w:widowControl w:val="0"/>
        <w:kinsoku/>
        <w:wordWrap/>
        <w:overflowPunct/>
        <w:topLinePunct w:val="0"/>
        <w:autoSpaceDE/>
        <w:autoSpaceDN/>
        <w:bidi w:val="0"/>
        <w:adjustRightInd/>
        <w:snapToGrid/>
        <w:spacing w:after="0" w:line="360" w:lineRule="auto"/>
        <w:ind w:left="221" w:right="204" w:firstLine="560" w:firstLineChars="200"/>
        <w:textAlignment w:val="auto"/>
        <w:rPr>
          <w:sz w:val="28"/>
          <w:szCs w:val="28"/>
        </w:rPr>
      </w:pPr>
      <w:r>
        <w:rPr>
          <w:sz w:val="28"/>
          <w:szCs w:val="28"/>
        </w:rPr>
        <w:t>二、防洪评价咨询服务费计列标准</w:t>
      </w:r>
      <w:r>
        <w:rPr>
          <w:spacing w:val="-3"/>
          <w:sz w:val="28"/>
          <w:szCs w:val="28"/>
        </w:rPr>
        <w:t>防洪影响咨询是涉河建设项目前期工作中的重要环节。防洪影响咨询内容包</w:t>
      </w:r>
      <w:r>
        <w:rPr>
          <w:sz w:val="28"/>
          <w:szCs w:val="28"/>
        </w:rPr>
        <w:t>括编制防洪影响报告和防洪影响处理工程设计。</w:t>
      </w:r>
    </w:p>
    <w:p w14:paraId="50CE6F4B">
      <w:pPr>
        <w:pStyle w:val="5"/>
        <w:keepNext w:val="0"/>
        <w:keepLines w:val="0"/>
        <w:pageBreakBefore w:val="0"/>
        <w:widowControl w:val="0"/>
        <w:kinsoku/>
        <w:wordWrap/>
        <w:overflowPunct/>
        <w:topLinePunct w:val="0"/>
        <w:autoSpaceDE/>
        <w:autoSpaceDN/>
        <w:bidi w:val="0"/>
        <w:adjustRightInd/>
        <w:snapToGrid/>
        <w:spacing w:after="0" w:line="360" w:lineRule="auto"/>
        <w:ind w:left="221" w:right="204" w:firstLine="560" w:firstLineChars="200"/>
        <w:textAlignment w:val="auto"/>
        <w:rPr>
          <w:sz w:val="28"/>
          <w:szCs w:val="28"/>
        </w:rPr>
      </w:pPr>
      <w:r>
        <w:rPr>
          <w:sz w:val="28"/>
          <w:szCs w:val="28"/>
        </w:rPr>
        <w:t>（一）涉河建设项目防洪评价报告编制费标准建设项目防洪评价报告编制费=报告编制费计列标准×复杂程度系数×附加</w:t>
      </w:r>
    </w:p>
    <w:p w14:paraId="1A80F858">
      <w:pPr>
        <w:pStyle w:val="5"/>
        <w:keepNext w:val="0"/>
        <w:keepLines w:val="0"/>
        <w:pageBreakBefore w:val="0"/>
        <w:widowControl w:val="0"/>
        <w:kinsoku/>
        <w:wordWrap/>
        <w:overflowPunct/>
        <w:topLinePunct w:val="0"/>
        <w:autoSpaceDE/>
        <w:autoSpaceDN/>
        <w:bidi w:val="0"/>
        <w:adjustRightInd/>
        <w:snapToGrid/>
        <w:spacing w:after="0" w:line="360" w:lineRule="auto"/>
        <w:ind w:left="221" w:right="204" w:firstLine="560" w:firstLineChars="200"/>
        <w:textAlignment w:val="auto"/>
        <w:rPr>
          <w:sz w:val="28"/>
          <w:szCs w:val="28"/>
        </w:rPr>
      </w:pPr>
      <w:r>
        <w:rPr>
          <w:sz w:val="28"/>
          <w:szCs w:val="28"/>
        </w:rPr>
        <w:t>调整系数</w:t>
      </w:r>
    </w:p>
    <w:p w14:paraId="2020EEDA">
      <w:pPr>
        <w:pStyle w:val="5"/>
        <w:keepNext w:val="0"/>
        <w:keepLines w:val="0"/>
        <w:pageBreakBefore w:val="0"/>
        <w:widowControl w:val="0"/>
        <w:kinsoku/>
        <w:wordWrap/>
        <w:overflowPunct/>
        <w:topLinePunct w:val="0"/>
        <w:autoSpaceDE/>
        <w:autoSpaceDN/>
        <w:bidi w:val="0"/>
        <w:adjustRightInd/>
        <w:snapToGrid/>
        <w:spacing w:after="0" w:line="360" w:lineRule="auto"/>
        <w:ind w:left="221" w:right="204" w:firstLine="560" w:firstLineChars="200"/>
        <w:textAlignment w:val="auto"/>
        <w:rPr>
          <w:sz w:val="28"/>
          <w:szCs w:val="28"/>
        </w:rPr>
      </w:pPr>
      <w:r>
        <w:rPr>
          <w:sz w:val="28"/>
          <w:szCs w:val="28"/>
        </w:rPr>
        <w:t xml:space="preserve">复杂程度系数=各项复杂系数之和+1 </w:t>
      </w:r>
    </w:p>
    <w:p w14:paraId="0763016E">
      <w:pPr>
        <w:pStyle w:val="5"/>
        <w:keepNext w:val="0"/>
        <w:keepLines w:val="0"/>
        <w:pageBreakBefore w:val="0"/>
        <w:widowControl w:val="0"/>
        <w:kinsoku/>
        <w:wordWrap/>
        <w:overflowPunct/>
        <w:topLinePunct w:val="0"/>
        <w:autoSpaceDE/>
        <w:autoSpaceDN/>
        <w:bidi w:val="0"/>
        <w:adjustRightInd/>
        <w:snapToGrid/>
        <w:spacing w:after="0" w:line="360" w:lineRule="auto"/>
        <w:ind w:left="221" w:right="204" w:firstLine="560" w:firstLineChars="200"/>
        <w:textAlignment w:val="auto"/>
        <w:rPr>
          <w:sz w:val="28"/>
          <w:szCs w:val="28"/>
        </w:rPr>
      </w:pPr>
      <w:r>
        <w:rPr>
          <w:sz w:val="28"/>
          <w:szCs w:val="28"/>
        </w:rPr>
        <w:t>附加调整系数=各项附加系数之和+1</w:t>
      </w:r>
    </w:p>
    <w:p w14:paraId="474F51BB">
      <w:pPr>
        <w:pStyle w:val="5"/>
        <w:keepNext w:val="0"/>
        <w:keepLines w:val="0"/>
        <w:pageBreakBefore w:val="0"/>
        <w:widowControl w:val="0"/>
        <w:kinsoku/>
        <w:wordWrap/>
        <w:overflowPunct/>
        <w:topLinePunct w:val="0"/>
        <w:autoSpaceDE/>
        <w:autoSpaceDN/>
        <w:bidi w:val="0"/>
        <w:adjustRightInd/>
        <w:snapToGrid/>
        <w:spacing w:after="0" w:line="360" w:lineRule="auto"/>
        <w:ind w:left="221" w:right="204" w:firstLine="560" w:firstLineChars="200"/>
        <w:textAlignment w:val="auto"/>
        <w:rPr>
          <w:sz w:val="28"/>
          <w:szCs w:val="28"/>
        </w:rPr>
        <w:sectPr>
          <w:pgSz w:w="11910" w:h="16840"/>
          <w:pgMar w:top="1560" w:right="1580" w:bottom="280" w:left="1580" w:header="720" w:footer="720" w:gutter="0"/>
          <w:cols w:space="720" w:num="1"/>
        </w:sectPr>
      </w:pPr>
    </w:p>
    <w:p w14:paraId="40B61FEC">
      <w:pPr>
        <w:spacing w:before="142" w:after="35"/>
        <w:ind w:left="337" w:right="323"/>
        <w:jc w:val="center"/>
        <w:rPr>
          <w:rFonts w:ascii="宋体" w:hAnsi="宋体" w:cs="宋体"/>
          <w:sz w:val="24"/>
        </w:rPr>
      </w:pPr>
      <w:r>
        <w:rPr>
          <w:rFonts w:ascii="宋体" w:hAnsi="宋体" w:cs="宋体"/>
          <w:b/>
          <w:bCs/>
          <w:sz w:val="24"/>
        </w:rPr>
        <w:t>涉河建设项目防洪评价报告编制费计列标准</w:t>
      </w:r>
    </w:p>
    <w:tbl>
      <w:tblPr>
        <w:tblStyle w:val="6"/>
        <w:tblW w:w="0" w:type="auto"/>
        <w:tblInd w:w="107" w:type="dxa"/>
        <w:tblLayout w:type="fixed"/>
        <w:tblCellMar>
          <w:top w:w="0" w:type="dxa"/>
          <w:left w:w="0" w:type="dxa"/>
          <w:bottom w:w="0" w:type="dxa"/>
          <w:right w:w="0" w:type="dxa"/>
        </w:tblCellMar>
      </w:tblPr>
      <w:tblGrid>
        <w:gridCol w:w="1621"/>
        <w:gridCol w:w="960"/>
        <w:gridCol w:w="1215"/>
        <w:gridCol w:w="1260"/>
        <w:gridCol w:w="1200"/>
        <w:gridCol w:w="1140"/>
        <w:gridCol w:w="1126"/>
      </w:tblGrid>
      <w:tr w14:paraId="3AF8D239">
        <w:tblPrEx>
          <w:tblCellMar>
            <w:top w:w="0" w:type="dxa"/>
            <w:left w:w="0" w:type="dxa"/>
            <w:bottom w:w="0" w:type="dxa"/>
            <w:right w:w="0" w:type="dxa"/>
          </w:tblCellMar>
        </w:tblPrEx>
        <w:trPr>
          <w:trHeight w:val="1194" w:hRule="exact"/>
        </w:trPr>
        <w:tc>
          <w:tcPr>
            <w:tcW w:w="1621" w:type="dxa"/>
            <w:tcBorders>
              <w:top w:val="single" w:color="000000" w:sz="4" w:space="0"/>
              <w:left w:val="single" w:color="000000" w:sz="4" w:space="0"/>
              <w:bottom w:val="single" w:color="000000" w:sz="4" w:space="0"/>
              <w:right w:val="single" w:color="000000" w:sz="4" w:space="0"/>
            </w:tcBorders>
            <w:vAlign w:val="center"/>
          </w:tcPr>
          <w:p w14:paraId="5146FE1F">
            <w:pPr>
              <w:pStyle w:val="8"/>
              <w:spacing w:before="108" w:line="273" w:lineRule="auto"/>
              <w:ind w:right="102"/>
              <w:jc w:val="center"/>
              <w:rPr>
                <w:rFonts w:ascii="宋体" w:hAnsi="宋体" w:eastAsia="宋体" w:cs="宋体"/>
                <w:sz w:val="21"/>
                <w:szCs w:val="21"/>
              </w:rPr>
            </w:pPr>
            <w:r>
              <w:rPr>
                <w:rFonts w:ascii="宋体" w:hAnsi="宋体" w:eastAsia="宋体" w:cs="宋体"/>
                <w:sz w:val="21"/>
                <w:szCs w:val="21"/>
              </w:rPr>
              <w:t xml:space="preserve">单项涉河工程 </w:t>
            </w:r>
            <w:r>
              <w:rPr>
                <w:rFonts w:ascii="宋体" w:hAnsi="宋体" w:eastAsia="宋体" w:cs="宋体"/>
                <w:spacing w:val="-9"/>
                <w:w w:val="95"/>
                <w:sz w:val="21"/>
                <w:szCs w:val="21"/>
              </w:rPr>
              <w:t xml:space="preserve">估算投资额（亿 </w:t>
            </w:r>
            <w:r>
              <w:rPr>
                <w:rFonts w:ascii="宋体" w:hAnsi="宋体" w:eastAsia="宋体" w:cs="宋体"/>
                <w:sz w:val="21"/>
                <w:szCs w:val="21"/>
              </w:rPr>
              <w:t>元）</w:t>
            </w:r>
          </w:p>
        </w:tc>
        <w:tc>
          <w:tcPr>
            <w:tcW w:w="960" w:type="dxa"/>
            <w:tcBorders>
              <w:top w:val="single" w:color="000000" w:sz="4" w:space="0"/>
              <w:left w:val="single" w:color="000000" w:sz="4" w:space="0"/>
              <w:bottom w:val="single" w:color="000000" w:sz="4" w:space="0"/>
              <w:right w:val="single" w:color="000000" w:sz="4" w:space="0"/>
            </w:tcBorders>
            <w:vAlign w:val="center"/>
          </w:tcPr>
          <w:p w14:paraId="295D95DA">
            <w:pPr>
              <w:pStyle w:val="8"/>
              <w:jc w:val="center"/>
              <w:rPr>
                <w:rFonts w:ascii="Times New Roman" w:hAnsi="Times New Roman" w:eastAsia="Times New Roman" w:cs="Times New Roman"/>
                <w:sz w:val="21"/>
                <w:szCs w:val="21"/>
              </w:rPr>
            </w:pPr>
            <w:r>
              <w:rPr>
                <w:rFonts w:ascii="Times New Roman"/>
                <w:sz w:val="21"/>
                <w:szCs w:val="21"/>
              </w:rPr>
              <w:t>0.02</w:t>
            </w:r>
          </w:p>
        </w:tc>
        <w:tc>
          <w:tcPr>
            <w:tcW w:w="1215" w:type="dxa"/>
            <w:tcBorders>
              <w:top w:val="single" w:color="000000" w:sz="4" w:space="0"/>
              <w:left w:val="single" w:color="000000" w:sz="4" w:space="0"/>
              <w:bottom w:val="single" w:color="000000" w:sz="4" w:space="0"/>
              <w:right w:val="single" w:color="000000" w:sz="4" w:space="0"/>
            </w:tcBorders>
            <w:vAlign w:val="center"/>
          </w:tcPr>
          <w:p w14:paraId="3D13933B">
            <w:pPr>
              <w:pStyle w:val="8"/>
              <w:jc w:val="center"/>
              <w:rPr>
                <w:rFonts w:ascii="Times New Roman" w:hAnsi="Times New Roman" w:eastAsia="Times New Roman" w:cs="Times New Roman"/>
                <w:sz w:val="21"/>
                <w:szCs w:val="21"/>
              </w:rPr>
            </w:pPr>
            <w:r>
              <w:rPr>
                <w:rFonts w:ascii="Times New Roman"/>
                <w:sz w:val="21"/>
                <w:szCs w:val="21"/>
              </w:rPr>
              <w:t>0.02~0.05</w:t>
            </w:r>
          </w:p>
        </w:tc>
        <w:tc>
          <w:tcPr>
            <w:tcW w:w="1260" w:type="dxa"/>
            <w:tcBorders>
              <w:top w:val="single" w:color="000000" w:sz="4" w:space="0"/>
              <w:left w:val="single" w:color="000000" w:sz="4" w:space="0"/>
              <w:bottom w:val="single" w:color="000000" w:sz="4" w:space="0"/>
              <w:right w:val="single" w:color="000000" w:sz="4" w:space="0"/>
            </w:tcBorders>
            <w:vAlign w:val="center"/>
          </w:tcPr>
          <w:p w14:paraId="0D9BD6C0">
            <w:pPr>
              <w:pStyle w:val="8"/>
              <w:jc w:val="center"/>
              <w:rPr>
                <w:rFonts w:ascii="Times New Roman" w:hAnsi="Times New Roman" w:eastAsia="Times New Roman" w:cs="Times New Roman"/>
                <w:sz w:val="21"/>
                <w:szCs w:val="21"/>
              </w:rPr>
            </w:pPr>
            <w:r>
              <w:rPr>
                <w:rFonts w:ascii="Times New Roman"/>
                <w:sz w:val="21"/>
                <w:szCs w:val="21"/>
              </w:rPr>
              <w:t>0.05~0.1</w:t>
            </w:r>
          </w:p>
        </w:tc>
        <w:tc>
          <w:tcPr>
            <w:tcW w:w="1200" w:type="dxa"/>
            <w:tcBorders>
              <w:top w:val="single" w:color="000000" w:sz="4" w:space="0"/>
              <w:left w:val="single" w:color="000000" w:sz="4" w:space="0"/>
              <w:bottom w:val="single" w:color="000000" w:sz="4" w:space="0"/>
              <w:right w:val="single" w:color="000000" w:sz="4" w:space="0"/>
            </w:tcBorders>
            <w:vAlign w:val="center"/>
          </w:tcPr>
          <w:p w14:paraId="72C56570">
            <w:pPr>
              <w:pStyle w:val="8"/>
              <w:jc w:val="center"/>
              <w:rPr>
                <w:rFonts w:ascii="Times New Roman" w:hAnsi="Times New Roman" w:eastAsia="Times New Roman" w:cs="Times New Roman"/>
                <w:sz w:val="21"/>
                <w:szCs w:val="21"/>
              </w:rPr>
            </w:pPr>
            <w:r>
              <w:rPr>
                <w:rFonts w:ascii="Times New Roman"/>
                <w:sz w:val="21"/>
                <w:szCs w:val="21"/>
              </w:rPr>
              <w:t>0.1~0.5</w:t>
            </w:r>
          </w:p>
        </w:tc>
        <w:tc>
          <w:tcPr>
            <w:tcW w:w="1140" w:type="dxa"/>
            <w:tcBorders>
              <w:top w:val="single" w:color="000000" w:sz="4" w:space="0"/>
              <w:left w:val="single" w:color="000000" w:sz="4" w:space="0"/>
              <w:bottom w:val="single" w:color="000000" w:sz="4" w:space="0"/>
              <w:right w:val="single" w:color="000000" w:sz="4" w:space="0"/>
            </w:tcBorders>
            <w:vAlign w:val="center"/>
          </w:tcPr>
          <w:p w14:paraId="32C23A25">
            <w:pPr>
              <w:pStyle w:val="8"/>
              <w:jc w:val="center"/>
              <w:rPr>
                <w:rFonts w:ascii="Times New Roman" w:hAnsi="Times New Roman" w:eastAsia="Times New Roman" w:cs="Times New Roman"/>
                <w:sz w:val="21"/>
                <w:szCs w:val="21"/>
              </w:rPr>
            </w:pPr>
            <w:r>
              <w:rPr>
                <w:rFonts w:ascii="Times New Roman"/>
                <w:sz w:val="21"/>
                <w:szCs w:val="21"/>
              </w:rPr>
              <w:t>0.5~1.0</w:t>
            </w:r>
          </w:p>
        </w:tc>
        <w:tc>
          <w:tcPr>
            <w:tcW w:w="1126" w:type="dxa"/>
            <w:tcBorders>
              <w:top w:val="single" w:color="000000" w:sz="4" w:space="0"/>
              <w:left w:val="single" w:color="000000" w:sz="4" w:space="0"/>
              <w:bottom w:val="single" w:color="000000" w:sz="4" w:space="0"/>
              <w:right w:val="single" w:color="000000" w:sz="4" w:space="0"/>
            </w:tcBorders>
            <w:vAlign w:val="center"/>
          </w:tcPr>
          <w:p w14:paraId="141FC63C">
            <w:pPr>
              <w:pStyle w:val="8"/>
              <w:jc w:val="center"/>
              <w:rPr>
                <w:rFonts w:ascii="Times New Roman" w:hAnsi="Times New Roman" w:eastAsia="Times New Roman" w:cs="Times New Roman"/>
                <w:sz w:val="21"/>
                <w:szCs w:val="21"/>
              </w:rPr>
            </w:pPr>
            <w:r>
              <w:rPr>
                <w:rFonts w:ascii="Times New Roman"/>
                <w:sz w:val="21"/>
                <w:szCs w:val="21"/>
              </w:rPr>
              <w:t>1.0~2.0</w:t>
            </w:r>
          </w:p>
        </w:tc>
      </w:tr>
      <w:tr w14:paraId="0885E78A">
        <w:tblPrEx>
          <w:tblCellMar>
            <w:top w:w="0" w:type="dxa"/>
            <w:left w:w="0" w:type="dxa"/>
            <w:bottom w:w="0" w:type="dxa"/>
            <w:right w:w="0" w:type="dxa"/>
          </w:tblCellMar>
        </w:tblPrEx>
        <w:trPr>
          <w:trHeight w:val="634" w:hRule="exact"/>
        </w:trPr>
        <w:tc>
          <w:tcPr>
            <w:tcW w:w="1621" w:type="dxa"/>
            <w:tcBorders>
              <w:top w:val="single" w:color="000000" w:sz="4" w:space="0"/>
              <w:left w:val="single" w:color="000000" w:sz="4" w:space="0"/>
              <w:bottom w:val="single" w:color="000000" w:sz="4" w:space="0"/>
              <w:right w:val="single" w:color="000000" w:sz="4" w:space="0"/>
            </w:tcBorders>
            <w:vAlign w:val="center"/>
          </w:tcPr>
          <w:p w14:paraId="2382D58B">
            <w:pPr>
              <w:pStyle w:val="8"/>
              <w:spacing w:line="259" w:lineRule="exact"/>
              <w:jc w:val="center"/>
              <w:rPr>
                <w:rFonts w:ascii="宋体" w:hAnsi="宋体" w:eastAsia="宋体" w:cs="宋体"/>
                <w:sz w:val="21"/>
                <w:szCs w:val="21"/>
              </w:rPr>
            </w:pPr>
            <w:r>
              <w:rPr>
                <w:rFonts w:ascii="宋体" w:hAnsi="宋体" w:eastAsia="宋体" w:cs="宋体"/>
                <w:sz w:val="21"/>
                <w:szCs w:val="21"/>
              </w:rPr>
              <w:t>编制防洪评价报告（万元）</w:t>
            </w:r>
          </w:p>
        </w:tc>
        <w:tc>
          <w:tcPr>
            <w:tcW w:w="960" w:type="dxa"/>
            <w:tcBorders>
              <w:top w:val="single" w:color="000000" w:sz="4" w:space="0"/>
              <w:left w:val="single" w:color="000000" w:sz="4" w:space="0"/>
              <w:bottom w:val="single" w:color="000000" w:sz="4" w:space="0"/>
              <w:right w:val="single" w:color="000000" w:sz="4" w:space="0"/>
            </w:tcBorders>
            <w:vAlign w:val="center"/>
          </w:tcPr>
          <w:p w14:paraId="0AA6AA2F">
            <w:pPr>
              <w:pStyle w:val="8"/>
              <w:jc w:val="center"/>
              <w:rPr>
                <w:rFonts w:ascii="Times New Roman" w:hAnsi="Times New Roman" w:eastAsia="Times New Roman" w:cs="Times New Roman"/>
                <w:sz w:val="21"/>
                <w:szCs w:val="21"/>
              </w:rPr>
            </w:pPr>
            <w:r>
              <w:rPr>
                <w:rFonts w:ascii="Times New Roman"/>
                <w:sz w:val="21"/>
                <w:szCs w:val="21"/>
              </w:rPr>
              <w:t>10</w:t>
            </w:r>
          </w:p>
        </w:tc>
        <w:tc>
          <w:tcPr>
            <w:tcW w:w="1215" w:type="dxa"/>
            <w:tcBorders>
              <w:top w:val="single" w:color="000000" w:sz="4" w:space="0"/>
              <w:left w:val="single" w:color="000000" w:sz="4" w:space="0"/>
              <w:bottom w:val="single" w:color="000000" w:sz="4" w:space="0"/>
              <w:right w:val="single" w:color="000000" w:sz="4" w:space="0"/>
            </w:tcBorders>
            <w:vAlign w:val="center"/>
          </w:tcPr>
          <w:p w14:paraId="3824EBDB">
            <w:pPr>
              <w:pStyle w:val="8"/>
              <w:ind w:right="1"/>
              <w:jc w:val="center"/>
              <w:rPr>
                <w:rFonts w:ascii="Times New Roman" w:hAnsi="Times New Roman" w:eastAsia="Times New Roman" w:cs="Times New Roman"/>
                <w:sz w:val="21"/>
                <w:szCs w:val="21"/>
              </w:rPr>
            </w:pPr>
            <w:r>
              <w:rPr>
                <w:rFonts w:ascii="Times New Roman"/>
                <w:sz w:val="21"/>
                <w:szCs w:val="21"/>
              </w:rPr>
              <w:t>10~15</w:t>
            </w:r>
          </w:p>
        </w:tc>
        <w:tc>
          <w:tcPr>
            <w:tcW w:w="1260" w:type="dxa"/>
            <w:tcBorders>
              <w:top w:val="single" w:color="000000" w:sz="4" w:space="0"/>
              <w:left w:val="single" w:color="000000" w:sz="4" w:space="0"/>
              <w:bottom w:val="single" w:color="000000" w:sz="4" w:space="0"/>
              <w:right w:val="single" w:color="000000" w:sz="4" w:space="0"/>
            </w:tcBorders>
            <w:vAlign w:val="center"/>
          </w:tcPr>
          <w:p w14:paraId="0F62E210">
            <w:pPr>
              <w:pStyle w:val="8"/>
              <w:jc w:val="center"/>
              <w:rPr>
                <w:rFonts w:ascii="Times New Roman" w:hAnsi="Times New Roman" w:eastAsia="Times New Roman" w:cs="Times New Roman"/>
                <w:sz w:val="21"/>
                <w:szCs w:val="21"/>
              </w:rPr>
            </w:pPr>
            <w:r>
              <w:rPr>
                <w:rFonts w:ascii="Times New Roman"/>
                <w:sz w:val="21"/>
                <w:szCs w:val="21"/>
              </w:rPr>
              <w:t>15~20</w:t>
            </w:r>
          </w:p>
        </w:tc>
        <w:tc>
          <w:tcPr>
            <w:tcW w:w="1200" w:type="dxa"/>
            <w:tcBorders>
              <w:top w:val="single" w:color="000000" w:sz="4" w:space="0"/>
              <w:left w:val="single" w:color="000000" w:sz="4" w:space="0"/>
              <w:bottom w:val="single" w:color="000000" w:sz="4" w:space="0"/>
              <w:right w:val="single" w:color="000000" w:sz="4" w:space="0"/>
            </w:tcBorders>
            <w:vAlign w:val="center"/>
          </w:tcPr>
          <w:p w14:paraId="289DF73D">
            <w:pPr>
              <w:pStyle w:val="8"/>
              <w:ind w:right="1"/>
              <w:jc w:val="center"/>
              <w:rPr>
                <w:rFonts w:ascii="Times New Roman" w:hAnsi="Times New Roman" w:eastAsia="Times New Roman" w:cs="Times New Roman"/>
                <w:sz w:val="21"/>
                <w:szCs w:val="21"/>
              </w:rPr>
            </w:pPr>
            <w:r>
              <w:rPr>
                <w:rFonts w:ascii="Times New Roman"/>
                <w:sz w:val="21"/>
                <w:szCs w:val="21"/>
              </w:rPr>
              <w:t>20~25</w:t>
            </w:r>
          </w:p>
        </w:tc>
        <w:tc>
          <w:tcPr>
            <w:tcW w:w="1140" w:type="dxa"/>
            <w:tcBorders>
              <w:top w:val="single" w:color="000000" w:sz="4" w:space="0"/>
              <w:left w:val="single" w:color="000000" w:sz="4" w:space="0"/>
              <w:bottom w:val="single" w:color="000000" w:sz="4" w:space="0"/>
              <w:right w:val="single" w:color="000000" w:sz="4" w:space="0"/>
            </w:tcBorders>
            <w:vAlign w:val="center"/>
          </w:tcPr>
          <w:p w14:paraId="2F4A3FC1">
            <w:pPr>
              <w:pStyle w:val="8"/>
              <w:jc w:val="center"/>
              <w:rPr>
                <w:rFonts w:ascii="Times New Roman" w:hAnsi="Times New Roman" w:eastAsia="Times New Roman" w:cs="Times New Roman"/>
                <w:sz w:val="21"/>
                <w:szCs w:val="21"/>
              </w:rPr>
            </w:pPr>
            <w:r>
              <w:rPr>
                <w:rFonts w:ascii="Times New Roman"/>
                <w:sz w:val="21"/>
                <w:szCs w:val="21"/>
              </w:rPr>
              <w:t>25~30</w:t>
            </w:r>
          </w:p>
        </w:tc>
        <w:tc>
          <w:tcPr>
            <w:tcW w:w="1126" w:type="dxa"/>
            <w:tcBorders>
              <w:top w:val="single" w:color="000000" w:sz="4" w:space="0"/>
              <w:left w:val="single" w:color="000000" w:sz="4" w:space="0"/>
              <w:bottom w:val="single" w:color="000000" w:sz="4" w:space="0"/>
              <w:right w:val="single" w:color="000000" w:sz="4" w:space="0"/>
            </w:tcBorders>
            <w:vAlign w:val="center"/>
          </w:tcPr>
          <w:p w14:paraId="5A467EF7">
            <w:pPr>
              <w:pStyle w:val="8"/>
              <w:jc w:val="center"/>
              <w:rPr>
                <w:rFonts w:ascii="Times New Roman" w:hAnsi="Times New Roman" w:eastAsia="Times New Roman" w:cs="Times New Roman"/>
                <w:sz w:val="21"/>
                <w:szCs w:val="21"/>
              </w:rPr>
            </w:pPr>
            <w:r>
              <w:rPr>
                <w:rFonts w:ascii="Times New Roman"/>
                <w:sz w:val="21"/>
                <w:szCs w:val="21"/>
              </w:rPr>
              <w:t>30~35</w:t>
            </w:r>
          </w:p>
        </w:tc>
      </w:tr>
      <w:tr w14:paraId="6570F009">
        <w:tblPrEx>
          <w:tblCellMar>
            <w:top w:w="0" w:type="dxa"/>
            <w:left w:w="0" w:type="dxa"/>
            <w:bottom w:w="0" w:type="dxa"/>
            <w:right w:w="0" w:type="dxa"/>
          </w:tblCellMar>
        </w:tblPrEx>
        <w:trPr>
          <w:trHeight w:val="946" w:hRule="exact"/>
        </w:trPr>
        <w:tc>
          <w:tcPr>
            <w:tcW w:w="1621" w:type="dxa"/>
            <w:tcBorders>
              <w:top w:val="single" w:color="000000" w:sz="4" w:space="0"/>
              <w:left w:val="single" w:color="000000" w:sz="4" w:space="0"/>
              <w:bottom w:val="single" w:color="000000" w:sz="4" w:space="0"/>
              <w:right w:val="single" w:color="000000" w:sz="4" w:space="0"/>
            </w:tcBorders>
            <w:vAlign w:val="center"/>
          </w:tcPr>
          <w:p w14:paraId="6E79D347">
            <w:pPr>
              <w:pStyle w:val="8"/>
              <w:spacing w:line="259" w:lineRule="exact"/>
              <w:jc w:val="center"/>
              <w:rPr>
                <w:rFonts w:ascii="宋体" w:hAnsi="宋体" w:eastAsia="宋体" w:cs="宋体"/>
                <w:sz w:val="21"/>
                <w:szCs w:val="21"/>
                <w:lang w:eastAsia="zh-CN"/>
              </w:rPr>
            </w:pPr>
            <w:r>
              <w:rPr>
                <w:rFonts w:ascii="宋体" w:hAnsi="宋体" w:eastAsia="宋体" w:cs="宋体"/>
                <w:sz w:val="21"/>
                <w:szCs w:val="21"/>
              </w:rPr>
              <w:t>单项涉河工程</w:t>
            </w:r>
          </w:p>
          <w:p w14:paraId="34C372DB">
            <w:pPr>
              <w:pStyle w:val="8"/>
              <w:spacing w:line="259" w:lineRule="exact"/>
              <w:jc w:val="center"/>
              <w:rPr>
                <w:rFonts w:ascii="宋体" w:hAnsi="宋体" w:eastAsia="宋体" w:cs="宋体"/>
                <w:sz w:val="21"/>
                <w:szCs w:val="21"/>
              </w:rPr>
            </w:pPr>
            <w:r>
              <w:rPr>
                <w:rFonts w:ascii="宋体" w:hAnsi="宋体" w:eastAsia="宋体" w:cs="宋体"/>
                <w:spacing w:val="-9"/>
                <w:w w:val="95"/>
                <w:sz w:val="21"/>
                <w:szCs w:val="21"/>
              </w:rPr>
              <w:t xml:space="preserve">估算投资额（亿 </w:t>
            </w:r>
            <w:r>
              <w:rPr>
                <w:rFonts w:ascii="宋体" w:hAnsi="宋体" w:eastAsia="宋体" w:cs="宋体"/>
                <w:sz w:val="21"/>
                <w:szCs w:val="21"/>
              </w:rPr>
              <w:t>元）</w:t>
            </w:r>
          </w:p>
        </w:tc>
        <w:tc>
          <w:tcPr>
            <w:tcW w:w="960" w:type="dxa"/>
            <w:tcBorders>
              <w:top w:val="single" w:color="000000" w:sz="4" w:space="0"/>
              <w:left w:val="single" w:color="000000" w:sz="4" w:space="0"/>
              <w:bottom w:val="single" w:color="000000" w:sz="4" w:space="0"/>
              <w:right w:val="single" w:color="000000" w:sz="4" w:space="0"/>
            </w:tcBorders>
            <w:vAlign w:val="center"/>
          </w:tcPr>
          <w:p w14:paraId="0ECB5213">
            <w:pPr>
              <w:pStyle w:val="8"/>
              <w:jc w:val="center"/>
              <w:rPr>
                <w:rFonts w:ascii="Times New Roman" w:hAnsi="Times New Roman" w:eastAsia="Times New Roman" w:cs="Times New Roman"/>
                <w:sz w:val="21"/>
                <w:szCs w:val="21"/>
              </w:rPr>
            </w:pPr>
            <w:r>
              <w:rPr>
                <w:rFonts w:ascii="Times New Roman"/>
                <w:sz w:val="21"/>
                <w:szCs w:val="21"/>
              </w:rPr>
              <w:t>2.0~5.0</w:t>
            </w:r>
          </w:p>
        </w:tc>
        <w:tc>
          <w:tcPr>
            <w:tcW w:w="1215" w:type="dxa"/>
            <w:tcBorders>
              <w:top w:val="single" w:color="000000" w:sz="4" w:space="0"/>
              <w:left w:val="single" w:color="000000" w:sz="4" w:space="0"/>
              <w:bottom w:val="single" w:color="000000" w:sz="4" w:space="0"/>
              <w:right w:val="single" w:color="000000" w:sz="4" w:space="0"/>
            </w:tcBorders>
            <w:vAlign w:val="center"/>
          </w:tcPr>
          <w:p w14:paraId="4E75CAE9">
            <w:pPr>
              <w:pStyle w:val="8"/>
              <w:jc w:val="center"/>
              <w:rPr>
                <w:rFonts w:ascii="Times New Roman" w:hAnsi="Times New Roman" w:eastAsia="Times New Roman" w:cs="Times New Roman"/>
                <w:sz w:val="21"/>
                <w:szCs w:val="21"/>
              </w:rPr>
            </w:pPr>
            <w:r>
              <w:rPr>
                <w:rFonts w:ascii="Times New Roman"/>
                <w:sz w:val="21"/>
                <w:szCs w:val="21"/>
              </w:rPr>
              <w:t>5.0~10.0</w:t>
            </w:r>
          </w:p>
        </w:tc>
        <w:tc>
          <w:tcPr>
            <w:tcW w:w="1260" w:type="dxa"/>
            <w:tcBorders>
              <w:top w:val="single" w:color="000000" w:sz="4" w:space="0"/>
              <w:left w:val="single" w:color="000000" w:sz="4" w:space="0"/>
              <w:bottom w:val="single" w:color="000000" w:sz="4" w:space="0"/>
              <w:right w:val="single" w:color="000000" w:sz="4" w:space="0"/>
            </w:tcBorders>
            <w:vAlign w:val="center"/>
          </w:tcPr>
          <w:p w14:paraId="7CE1E932">
            <w:pPr>
              <w:pStyle w:val="8"/>
              <w:ind w:right="1"/>
              <w:jc w:val="center"/>
              <w:rPr>
                <w:rFonts w:ascii="Times New Roman" w:hAnsi="Times New Roman" w:eastAsia="Times New Roman" w:cs="Times New Roman"/>
                <w:sz w:val="21"/>
                <w:szCs w:val="21"/>
              </w:rPr>
            </w:pPr>
            <w:r>
              <w:rPr>
                <w:rFonts w:ascii="Times New Roman"/>
                <w:sz w:val="21"/>
                <w:szCs w:val="21"/>
              </w:rPr>
              <w:t>10.0~20.0</w:t>
            </w:r>
          </w:p>
        </w:tc>
        <w:tc>
          <w:tcPr>
            <w:tcW w:w="1200" w:type="dxa"/>
            <w:tcBorders>
              <w:top w:val="single" w:color="000000" w:sz="4" w:space="0"/>
              <w:left w:val="single" w:color="000000" w:sz="4" w:space="0"/>
              <w:bottom w:val="single" w:color="000000" w:sz="4" w:space="0"/>
              <w:right w:val="single" w:color="000000" w:sz="4" w:space="0"/>
            </w:tcBorders>
            <w:vAlign w:val="center"/>
          </w:tcPr>
          <w:p w14:paraId="268454CB">
            <w:pPr>
              <w:pStyle w:val="8"/>
              <w:jc w:val="center"/>
              <w:rPr>
                <w:rFonts w:ascii="Times New Roman" w:hAnsi="Times New Roman" w:eastAsia="Times New Roman" w:cs="Times New Roman"/>
                <w:sz w:val="21"/>
                <w:szCs w:val="21"/>
              </w:rPr>
            </w:pPr>
            <w:r>
              <w:rPr>
                <w:rFonts w:ascii="Times New Roman"/>
                <w:sz w:val="21"/>
                <w:szCs w:val="21"/>
              </w:rPr>
              <w:t>20.0~50.0</w:t>
            </w:r>
          </w:p>
        </w:tc>
        <w:tc>
          <w:tcPr>
            <w:tcW w:w="1140" w:type="dxa"/>
            <w:tcBorders>
              <w:top w:val="single" w:color="000000" w:sz="4" w:space="0"/>
              <w:left w:val="single" w:color="000000" w:sz="4" w:space="0"/>
              <w:bottom w:val="single" w:color="000000" w:sz="4" w:space="0"/>
              <w:right w:val="single" w:color="000000" w:sz="4" w:space="0"/>
            </w:tcBorders>
            <w:vAlign w:val="center"/>
          </w:tcPr>
          <w:p w14:paraId="4B791DE0">
            <w:pPr>
              <w:pStyle w:val="8"/>
              <w:jc w:val="center"/>
              <w:rPr>
                <w:rFonts w:ascii="宋体" w:hAnsi="宋体" w:eastAsia="宋体" w:cs="宋体"/>
                <w:sz w:val="21"/>
                <w:szCs w:val="21"/>
              </w:rPr>
            </w:pPr>
            <w:r>
              <w:rPr>
                <w:rFonts w:ascii="Times New Roman" w:hAnsi="Times New Roman" w:eastAsia="Times New Roman" w:cs="Times New Roman"/>
                <w:sz w:val="21"/>
                <w:szCs w:val="21"/>
              </w:rPr>
              <w:t>50.0</w:t>
            </w:r>
            <w:r>
              <w:rPr>
                <w:rFonts w:ascii="Times New Roman" w:hAnsi="Times New Roman" w:eastAsia="Times New Roman" w:cs="Times New Roman"/>
                <w:spacing w:val="-4"/>
                <w:sz w:val="21"/>
                <w:szCs w:val="21"/>
              </w:rPr>
              <w:t xml:space="preserve"> </w:t>
            </w:r>
            <w:r>
              <w:rPr>
                <w:rFonts w:ascii="宋体" w:hAnsi="宋体" w:eastAsia="宋体" w:cs="宋体"/>
                <w:sz w:val="21"/>
                <w:szCs w:val="21"/>
              </w:rPr>
              <w:t>以上</w:t>
            </w:r>
          </w:p>
        </w:tc>
        <w:tc>
          <w:tcPr>
            <w:tcW w:w="1126" w:type="dxa"/>
            <w:tcBorders>
              <w:top w:val="single" w:color="000000" w:sz="4" w:space="0"/>
              <w:left w:val="single" w:color="000000" w:sz="4" w:space="0"/>
              <w:bottom w:val="single" w:color="000000" w:sz="4" w:space="0"/>
              <w:right w:val="single" w:color="000000" w:sz="4" w:space="0"/>
            </w:tcBorders>
            <w:vAlign w:val="center"/>
          </w:tcPr>
          <w:p w14:paraId="141A5896">
            <w:pPr>
              <w:jc w:val="center"/>
              <w:rPr>
                <w:sz w:val="21"/>
                <w:szCs w:val="21"/>
              </w:rPr>
            </w:pPr>
          </w:p>
        </w:tc>
      </w:tr>
      <w:tr w14:paraId="4B022EF9">
        <w:tblPrEx>
          <w:tblCellMar>
            <w:top w:w="0" w:type="dxa"/>
            <w:left w:w="0" w:type="dxa"/>
            <w:bottom w:w="0" w:type="dxa"/>
            <w:right w:w="0" w:type="dxa"/>
          </w:tblCellMar>
        </w:tblPrEx>
        <w:trPr>
          <w:trHeight w:val="634" w:hRule="exact"/>
        </w:trPr>
        <w:tc>
          <w:tcPr>
            <w:tcW w:w="1621" w:type="dxa"/>
            <w:tcBorders>
              <w:top w:val="single" w:color="000000" w:sz="4" w:space="0"/>
              <w:left w:val="single" w:color="000000" w:sz="4" w:space="0"/>
              <w:bottom w:val="single" w:color="000000" w:sz="4" w:space="0"/>
              <w:right w:val="single" w:color="000000" w:sz="4" w:space="0"/>
            </w:tcBorders>
            <w:vAlign w:val="center"/>
          </w:tcPr>
          <w:p w14:paraId="15960687">
            <w:pPr>
              <w:pStyle w:val="8"/>
              <w:spacing w:line="261" w:lineRule="exact"/>
              <w:jc w:val="center"/>
              <w:rPr>
                <w:rFonts w:ascii="宋体" w:hAnsi="宋体" w:eastAsia="宋体" w:cs="宋体"/>
                <w:sz w:val="21"/>
                <w:szCs w:val="21"/>
              </w:rPr>
            </w:pPr>
            <w:r>
              <w:rPr>
                <w:rFonts w:ascii="宋体" w:hAnsi="宋体" w:eastAsia="宋体" w:cs="宋体"/>
                <w:sz w:val="21"/>
                <w:szCs w:val="21"/>
              </w:rPr>
              <w:t>编制防洪评价</w:t>
            </w:r>
          </w:p>
          <w:p w14:paraId="0470F7FB">
            <w:pPr>
              <w:pStyle w:val="8"/>
              <w:spacing w:before="37"/>
              <w:jc w:val="center"/>
              <w:rPr>
                <w:rFonts w:ascii="宋体" w:hAnsi="宋体" w:eastAsia="宋体" w:cs="宋体"/>
                <w:sz w:val="21"/>
                <w:szCs w:val="21"/>
              </w:rPr>
            </w:pPr>
            <w:r>
              <w:rPr>
                <w:rFonts w:ascii="宋体" w:hAnsi="宋体" w:eastAsia="宋体" w:cs="宋体"/>
                <w:sz w:val="21"/>
                <w:szCs w:val="21"/>
              </w:rPr>
              <w:t>报告（万元）</w:t>
            </w:r>
          </w:p>
        </w:tc>
        <w:tc>
          <w:tcPr>
            <w:tcW w:w="960" w:type="dxa"/>
            <w:tcBorders>
              <w:top w:val="single" w:color="000000" w:sz="4" w:space="0"/>
              <w:left w:val="single" w:color="000000" w:sz="4" w:space="0"/>
              <w:bottom w:val="single" w:color="000000" w:sz="4" w:space="0"/>
              <w:right w:val="single" w:color="000000" w:sz="4" w:space="0"/>
            </w:tcBorders>
            <w:vAlign w:val="center"/>
          </w:tcPr>
          <w:p w14:paraId="4F682456">
            <w:pPr>
              <w:pStyle w:val="8"/>
              <w:jc w:val="center"/>
              <w:rPr>
                <w:rFonts w:ascii="Times New Roman" w:hAnsi="Times New Roman" w:eastAsia="Times New Roman" w:cs="Times New Roman"/>
                <w:sz w:val="21"/>
                <w:szCs w:val="21"/>
              </w:rPr>
            </w:pPr>
            <w:r>
              <w:rPr>
                <w:rFonts w:ascii="Times New Roman"/>
                <w:sz w:val="21"/>
                <w:szCs w:val="21"/>
              </w:rPr>
              <w:t>35~40</w:t>
            </w:r>
          </w:p>
        </w:tc>
        <w:tc>
          <w:tcPr>
            <w:tcW w:w="1215" w:type="dxa"/>
            <w:tcBorders>
              <w:top w:val="single" w:color="000000" w:sz="4" w:space="0"/>
              <w:left w:val="single" w:color="000000" w:sz="4" w:space="0"/>
              <w:bottom w:val="single" w:color="000000" w:sz="4" w:space="0"/>
              <w:right w:val="single" w:color="000000" w:sz="4" w:space="0"/>
            </w:tcBorders>
            <w:vAlign w:val="center"/>
          </w:tcPr>
          <w:p w14:paraId="5CA9EEB6">
            <w:pPr>
              <w:pStyle w:val="8"/>
              <w:ind w:right="1"/>
              <w:jc w:val="center"/>
              <w:rPr>
                <w:rFonts w:ascii="Times New Roman" w:hAnsi="Times New Roman" w:eastAsia="Times New Roman" w:cs="Times New Roman"/>
                <w:sz w:val="21"/>
                <w:szCs w:val="21"/>
              </w:rPr>
            </w:pPr>
            <w:r>
              <w:rPr>
                <w:rFonts w:ascii="Times New Roman"/>
                <w:sz w:val="21"/>
                <w:szCs w:val="21"/>
              </w:rPr>
              <w:t>40~45</w:t>
            </w:r>
          </w:p>
        </w:tc>
        <w:tc>
          <w:tcPr>
            <w:tcW w:w="1260" w:type="dxa"/>
            <w:tcBorders>
              <w:top w:val="single" w:color="000000" w:sz="4" w:space="0"/>
              <w:left w:val="single" w:color="000000" w:sz="4" w:space="0"/>
              <w:bottom w:val="single" w:color="000000" w:sz="4" w:space="0"/>
              <w:right w:val="single" w:color="000000" w:sz="4" w:space="0"/>
            </w:tcBorders>
            <w:vAlign w:val="center"/>
          </w:tcPr>
          <w:p w14:paraId="66896D11">
            <w:pPr>
              <w:pStyle w:val="8"/>
              <w:jc w:val="center"/>
              <w:rPr>
                <w:rFonts w:ascii="Times New Roman" w:hAnsi="Times New Roman" w:eastAsia="Times New Roman" w:cs="Times New Roman"/>
                <w:sz w:val="21"/>
                <w:szCs w:val="21"/>
              </w:rPr>
            </w:pPr>
            <w:r>
              <w:rPr>
                <w:rFonts w:ascii="Times New Roman"/>
                <w:sz w:val="21"/>
                <w:szCs w:val="21"/>
              </w:rPr>
              <w:t>45~50</w:t>
            </w:r>
          </w:p>
        </w:tc>
        <w:tc>
          <w:tcPr>
            <w:tcW w:w="1200" w:type="dxa"/>
            <w:tcBorders>
              <w:top w:val="single" w:color="000000" w:sz="4" w:space="0"/>
              <w:left w:val="single" w:color="000000" w:sz="4" w:space="0"/>
              <w:bottom w:val="single" w:color="000000" w:sz="4" w:space="0"/>
              <w:right w:val="single" w:color="000000" w:sz="4" w:space="0"/>
            </w:tcBorders>
            <w:vAlign w:val="center"/>
          </w:tcPr>
          <w:p w14:paraId="611C5117">
            <w:pPr>
              <w:pStyle w:val="8"/>
              <w:ind w:right="1"/>
              <w:jc w:val="center"/>
              <w:rPr>
                <w:rFonts w:ascii="Times New Roman" w:hAnsi="Times New Roman" w:eastAsia="Times New Roman" w:cs="Times New Roman"/>
                <w:sz w:val="21"/>
                <w:szCs w:val="21"/>
              </w:rPr>
            </w:pPr>
            <w:r>
              <w:rPr>
                <w:rFonts w:ascii="Times New Roman"/>
                <w:sz w:val="21"/>
                <w:szCs w:val="21"/>
              </w:rPr>
              <w:t>50~55</w:t>
            </w:r>
          </w:p>
        </w:tc>
        <w:tc>
          <w:tcPr>
            <w:tcW w:w="1140" w:type="dxa"/>
            <w:tcBorders>
              <w:top w:val="single" w:color="000000" w:sz="4" w:space="0"/>
              <w:left w:val="single" w:color="000000" w:sz="4" w:space="0"/>
              <w:bottom w:val="single" w:color="000000" w:sz="4" w:space="0"/>
              <w:right w:val="single" w:color="000000" w:sz="4" w:space="0"/>
            </w:tcBorders>
            <w:vAlign w:val="center"/>
          </w:tcPr>
          <w:p w14:paraId="11E0BFA1">
            <w:pPr>
              <w:pStyle w:val="8"/>
              <w:jc w:val="center"/>
              <w:rPr>
                <w:rFonts w:ascii="Times New Roman"/>
                <w:sz w:val="21"/>
                <w:szCs w:val="21"/>
              </w:rPr>
            </w:pPr>
            <w:r>
              <w:rPr>
                <w:rFonts w:ascii="Times New Roman"/>
                <w:sz w:val="21"/>
                <w:szCs w:val="21"/>
              </w:rPr>
              <w:t>55 以上</w:t>
            </w:r>
          </w:p>
        </w:tc>
        <w:tc>
          <w:tcPr>
            <w:tcW w:w="1126" w:type="dxa"/>
            <w:tcBorders>
              <w:top w:val="single" w:color="000000" w:sz="4" w:space="0"/>
              <w:left w:val="single" w:color="000000" w:sz="4" w:space="0"/>
              <w:bottom w:val="single" w:color="000000" w:sz="4" w:space="0"/>
              <w:right w:val="single" w:color="000000" w:sz="4" w:space="0"/>
            </w:tcBorders>
            <w:vAlign w:val="center"/>
          </w:tcPr>
          <w:p w14:paraId="5B4FDF5C">
            <w:pPr>
              <w:jc w:val="center"/>
              <w:rPr>
                <w:sz w:val="21"/>
                <w:szCs w:val="21"/>
              </w:rPr>
            </w:pPr>
          </w:p>
        </w:tc>
      </w:tr>
    </w:tbl>
    <w:p w14:paraId="7E966DB3">
      <w:pPr>
        <w:pStyle w:val="5"/>
        <w:spacing w:after="0" w:line="360" w:lineRule="auto"/>
        <w:ind w:firstLine="420" w:firstLineChars="200"/>
      </w:pPr>
      <w:r>
        <w:t>注：</w:t>
      </w:r>
      <w:r>
        <w:rPr>
          <w:rFonts w:eastAsia="Times New Roman"/>
        </w:rPr>
        <w:t>1</w:t>
      </w:r>
      <w:r>
        <w:t>、表中数字下限为不含，上限为包含。</w:t>
      </w:r>
    </w:p>
    <w:p w14:paraId="1F817BC8">
      <w:pPr>
        <w:pStyle w:val="5"/>
        <w:spacing w:after="0" w:line="360" w:lineRule="auto"/>
        <w:ind w:firstLine="420" w:firstLineChars="200"/>
      </w:pPr>
      <w:r>
        <w:t>2、单项涉河工程估算投资额，是指建设项目中每一个涉河工程，分别在项 目建议书或可行性研究报告中的估算投资额。比如某高速公路项目有多座跨河桥 梁，单项涉河工程估算投资额即是指每一座跨河桥梁的估算投资额，防洪评价报 告编制费应先根据每一座跨河桥梁的估算投资额计算相应的报告编制费，多座跨 河桥梁的报告编制费相加即是该高速公路项目的防洪评价报告总编制费。</w:t>
      </w:r>
    </w:p>
    <w:p w14:paraId="4777A4EB">
      <w:pPr>
        <w:pStyle w:val="5"/>
        <w:spacing w:after="0" w:line="360" w:lineRule="auto"/>
        <w:ind w:firstLine="420" w:firstLineChars="200"/>
      </w:pPr>
      <w:r>
        <w:t>3、涉河建设项目防洪评价报告编制费根据估算投资额在对应区间用插入法 计算。</w:t>
      </w:r>
    </w:p>
    <w:p w14:paraId="547D1CF7">
      <w:pPr>
        <w:pStyle w:val="5"/>
        <w:spacing w:after="0" w:line="360" w:lineRule="auto"/>
        <w:ind w:firstLine="420" w:firstLineChars="200"/>
      </w:pPr>
      <w:r>
        <w:t>4、复杂程度系数按下表取值</w:t>
      </w:r>
    </w:p>
    <w:p w14:paraId="4072F85E">
      <w:pPr>
        <w:pStyle w:val="5"/>
        <w:spacing w:after="0" w:line="360" w:lineRule="auto"/>
        <w:ind w:firstLine="420" w:firstLineChars="200"/>
      </w:pPr>
      <w:r>
        <w:t>5、上表中费用不包括防洪评价报告专家评审、模型试验、地质 勘察、地形 测量、工程监测和工程检测等费用。</w:t>
      </w:r>
    </w:p>
    <w:p w14:paraId="277630C7">
      <w:pPr>
        <w:pStyle w:val="5"/>
        <w:spacing w:after="0" w:line="360" w:lineRule="auto"/>
        <w:ind w:firstLine="420" w:firstLineChars="200"/>
      </w:pPr>
    </w:p>
    <w:tbl>
      <w:tblPr>
        <w:tblStyle w:val="6"/>
        <w:tblW w:w="0" w:type="auto"/>
        <w:tblInd w:w="107" w:type="dxa"/>
        <w:tblLayout w:type="fixed"/>
        <w:tblCellMar>
          <w:top w:w="0" w:type="dxa"/>
          <w:left w:w="0" w:type="dxa"/>
          <w:bottom w:w="0" w:type="dxa"/>
          <w:right w:w="0" w:type="dxa"/>
        </w:tblCellMar>
      </w:tblPr>
      <w:tblGrid>
        <w:gridCol w:w="1426"/>
        <w:gridCol w:w="4255"/>
        <w:gridCol w:w="2841"/>
      </w:tblGrid>
      <w:tr w14:paraId="0EA22A96">
        <w:tblPrEx>
          <w:tblCellMar>
            <w:top w:w="0" w:type="dxa"/>
            <w:left w:w="0" w:type="dxa"/>
            <w:bottom w:w="0" w:type="dxa"/>
            <w:right w:w="0" w:type="dxa"/>
          </w:tblCellMar>
        </w:tblPrEx>
        <w:trPr>
          <w:trHeight w:val="425" w:hRule="exact"/>
        </w:trPr>
        <w:tc>
          <w:tcPr>
            <w:tcW w:w="1426" w:type="dxa"/>
            <w:tcBorders>
              <w:top w:val="single" w:color="000000" w:sz="4" w:space="0"/>
              <w:left w:val="single" w:color="000000" w:sz="4" w:space="0"/>
              <w:bottom w:val="single" w:color="000000" w:sz="4" w:space="0"/>
              <w:right w:val="single" w:color="000000" w:sz="4" w:space="0"/>
            </w:tcBorders>
            <w:vAlign w:val="center"/>
          </w:tcPr>
          <w:p w14:paraId="2BEB5684">
            <w:pPr>
              <w:pStyle w:val="8"/>
              <w:spacing w:before="108" w:line="273" w:lineRule="auto"/>
              <w:ind w:right="102"/>
              <w:jc w:val="center"/>
              <w:rPr>
                <w:rFonts w:ascii="Times New Roman" w:hAnsi="Times New Roman" w:eastAsia="宋体" w:cs="Times New Roman"/>
                <w:sz w:val="21"/>
                <w:szCs w:val="21"/>
              </w:rPr>
            </w:pPr>
            <w:r>
              <w:rPr>
                <w:rFonts w:ascii="Times New Roman" w:hAnsi="Times New Roman" w:eastAsia="宋体" w:cs="Times New Roman"/>
                <w:sz w:val="21"/>
                <w:szCs w:val="21"/>
              </w:rPr>
              <w:t>序号</w:t>
            </w:r>
          </w:p>
        </w:tc>
        <w:tc>
          <w:tcPr>
            <w:tcW w:w="4255" w:type="dxa"/>
            <w:tcBorders>
              <w:top w:val="single" w:color="000000" w:sz="4" w:space="0"/>
              <w:left w:val="single" w:color="000000" w:sz="4" w:space="0"/>
              <w:bottom w:val="single" w:color="000000" w:sz="4" w:space="0"/>
              <w:right w:val="single" w:color="000000" w:sz="4" w:space="0"/>
            </w:tcBorders>
            <w:vAlign w:val="center"/>
          </w:tcPr>
          <w:p w14:paraId="4C1EFEB6">
            <w:pPr>
              <w:pStyle w:val="8"/>
              <w:spacing w:before="108" w:line="273" w:lineRule="auto"/>
              <w:ind w:right="102"/>
              <w:jc w:val="center"/>
              <w:rPr>
                <w:rFonts w:ascii="Times New Roman" w:hAnsi="Times New Roman" w:eastAsia="宋体" w:cs="Times New Roman"/>
                <w:sz w:val="21"/>
                <w:szCs w:val="21"/>
              </w:rPr>
            </w:pPr>
            <w:r>
              <w:rPr>
                <w:rFonts w:ascii="Times New Roman" w:hAnsi="Times New Roman" w:eastAsia="宋体" w:cs="Times New Roman"/>
                <w:sz w:val="21"/>
                <w:szCs w:val="21"/>
              </w:rPr>
              <w:t>河道及堤防特征</w:t>
            </w:r>
          </w:p>
        </w:tc>
        <w:tc>
          <w:tcPr>
            <w:tcW w:w="2841" w:type="dxa"/>
            <w:tcBorders>
              <w:top w:val="single" w:color="000000" w:sz="4" w:space="0"/>
              <w:left w:val="single" w:color="000000" w:sz="4" w:space="0"/>
              <w:bottom w:val="single" w:color="000000" w:sz="4" w:space="0"/>
              <w:right w:val="single" w:color="000000" w:sz="4" w:space="0"/>
            </w:tcBorders>
            <w:vAlign w:val="center"/>
          </w:tcPr>
          <w:p w14:paraId="35284DB2">
            <w:pPr>
              <w:pStyle w:val="8"/>
              <w:spacing w:before="108" w:line="273" w:lineRule="auto"/>
              <w:ind w:right="102"/>
              <w:jc w:val="center"/>
              <w:rPr>
                <w:rFonts w:ascii="Times New Roman" w:hAnsi="Times New Roman" w:eastAsia="宋体" w:cs="Times New Roman"/>
                <w:sz w:val="21"/>
                <w:szCs w:val="21"/>
              </w:rPr>
            </w:pPr>
            <w:r>
              <w:rPr>
                <w:rFonts w:ascii="Times New Roman" w:hAnsi="Times New Roman" w:eastAsia="宋体" w:cs="Times New Roman"/>
                <w:sz w:val="21"/>
                <w:szCs w:val="21"/>
              </w:rPr>
              <w:t>复杂系数</w:t>
            </w:r>
          </w:p>
        </w:tc>
      </w:tr>
      <w:tr w14:paraId="324E9441">
        <w:tblPrEx>
          <w:tblCellMar>
            <w:top w:w="0" w:type="dxa"/>
            <w:left w:w="0" w:type="dxa"/>
            <w:bottom w:w="0" w:type="dxa"/>
            <w:right w:w="0" w:type="dxa"/>
          </w:tblCellMar>
        </w:tblPrEx>
        <w:trPr>
          <w:trHeight w:val="425" w:hRule="exact"/>
        </w:trPr>
        <w:tc>
          <w:tcPr>
            <w:tcW w:w="1426" w:type="dxa"/>
            <w:tcBorders>
              <w:top w:val="single" w:color="000000" w:sz="4" w:space="0"/>
              <w:left w:val="single" w:color="000000" w:sz="4" w:space="0"/>
              <w:bottom w:val="single" w:color="000000" w:sz="4" w:space="0"/>
              <w:right w:val="single" w:color="000000" w:sz="4" w:space="0"/>
            </w:tcBorders>
            <w:vAlign w:val="center"/>
          </w:tcPr>
          <w:p w14:paraId="3CFAEA88">
            <w:pPr>
              <w:pStyle w:val="8"/>
              <w:spacing w:before="108" w:line="273" w:lineRule="auto"/>
              <w:ind w:right="102"/>
              <w:jc w:val="center"/>
              <w:rPr>
                <w:rFonts w:ascii="Times New Roman" w:hAnsi="Times New Roman" w:eastAsia="宋体" w:cs="Times New Roman"/>
                <w:sz w:val="21"/>
                <w:szCs w:val="21"/>
              </w:rPr>
            </w:pPr>
            <w:r>
              <w:rPr>
                <w:rFonts w:ascii="Times New Roman" w:hAnsi="Times New Roman" w:eastAsia="宋体" w:cs="Times New Roman"/>
                <w:sz w:val="21"/>
                <w:szCs w:val="21"/>
              </w:rPr>
              <w:t>1</w:t>
            </w:r>
          </w:p>
        </w:tc>
        <w:tc>
          <w:tcPr>
            <w:tcW w:w="4255" w:type="dxa"/>
            <w:tcBorders>
              <w:top w:val="single" w:color="000000" w:sz="4" w:space="0"/>
              <w:left w:val="single" w:color="000000" w:sz="4" w:space="0"/>
              <w:bottom w:val="single" w:color="000000" w:sz="4" w:space="0"/>
              <w:right w:val="single" w:color="000000" w:sz="4" w:space="0"/>
            </w:tcBorders>
            <w:vAlign w:val="center"/>
          </w:tcPr>
          <w:p w14:paraId="1D094BBE">
            <w:pPr>
              <w:pStyle w:val="8"/>
              <w:spacing w:before="108" w:line="273" w:lineRule="auto"/>
              <w:ind w:right="102"/>
              <w:jc w:val="center"/>
              <w:rPr>
                <w:rFonts w:ascii="Times New Roman" w:hAnsi="Times New Roman" w:eastAsia="宋体" w:cs="Times New Roman"/>
                <w:sz w:val="21"/>
                <w:szCs w:val="21"/>
              </w:rPr>
            </w:pPr>
            <w:r>
              <w:rPr>
                <w:rFonts w:ascii="Times New Roman" w:hAnsi="Times New Roman" w:eastAsia="宋体" w:cs="Times New Roman"/>
                <w:sz w:val="21"/>
                <w:szCs w:val="21"/>
              </w:rPr>
              <w:t>长江、淮河干流</w:t>
            </w:r>
          </w:p>
        </w:tc>
        <w:tc>
          <w:tcPr>
            <w:tcW w:w="2841" w:type="dxa"/>
            <w:tcBorders>
              <w:top w:val="single" w:color="000000" w:sz="4" w:space="0"/>
              <w:left w:val="single" w:color="000000" w:sz="4" w:space="0"/>
              <w:bottom w:val="single" w:color="000000" w:sz="4" w:space="0"/>
              <w:right w:val="single" w:color="000000" w:sz="4" w:space="0"/>
            </w:tcBorders>
            <w:vAlign w:val="center"/>
          </w:tcPr>
          <w:p w14:paraId="394BDD03">
            <w:pPr>
              <w:pStyle w:val="8"/>
              <w:spacing w:before="108" w:line="273" w:lineRule="auto"/>
              <w:ind w:right="102"/>
              <w:jc w:val="center"/>
              <w:rPr>
                <w:rFonts w:ascii="Times New Roman" w:hAnsi="Times New Roman" w:eastAsia="宋体" w:cs="Times New Roman"/>
                <w:sz w:val="21"/>
                <w:szCs w:val="21"/>
              </w:rPr>
            </w:pPr>
            <w:r>
              <w:rPr>
                <w:rFonts w:ascii="Times New Roman" w:hAnsi="Times New Roman" w:eastAsia="宋体" w:cs="Times New Roman"/>
                <w:sz w:val="21"/>
                <w:szCs w:val="21"/>
              </w:rPr>
              <w:t>0.3</w:t>
            </w:r>
          </w:p>
        </w:tc>
      </w:tr>
      <w:tr w14:paraId="7A2E6048">
        <w:tblPrEx>
          <w:tblCellMar>
            <w:top w:w="0" w:type="dxa"/>
            <w:left w:w="0" w:type="dxa"/>
            <w:bottom w:w="0" w:type="dxa"/>
            <w:right w:w="0" w:type="dxa"/>
          </w:tblCellMar>
        </w:tblPrEx>
        <w:trPr>
          <w:trHeight w:val="425" w:hRule="exact"/>
        </w:trPr>
        <w:tc>
          <w:tcPr>
            <w:tcW w:w="1426" w:type="dxa"/>
            <w:tcBorders>
              <w:top w:val="single" w:color="000000" w:sz="4" w:space="0"/>
              <w:left w:val="single" w:color="000000" w:sz="4" w:space="0"/>
              <w:bottom w:val="single" w:color="000000" w:sz="4" w:space="0"/>
              <w:right w:val="single" w:color="000000" w:sz="4" w:space="0"/>
            </w:tcBorders>
            <w:vAlign w:val="center"/>
          </w:tcPr>
          <w:p w14:paraId="60E64ABC">
            <w:pPr>
              <w:pStyle w:val="8"/>
              <w:spacing w:before="108" w:line="273" w:lineRule="auto"/>
              <w:ind w:right="102"/>
              <w:jc w:val="center"/>
              <w:rPr>
                <w:rFonts w:ascii="Times New Roman" w:hAnsi="Times New Roman" w:eastAsia="宋体" w:cs="Times New Roman"/>
                <w:sz w:val="21"/>
                <w:szCs w:val="21"/>
              </w:rPr>
            </w:pPr>
            <w:r>
              <w:rPr>
                <w:rFonts w:ascii="Times New Roman" w:hAnsi="Times New Roman" w:eastAsia="宋体" w:cs="Times New Roman"/>
                <w:sz w:val="21"/>
                <w:szCs w:val="21"/>
              </w:rPr>
              <w:t>2</w:t>
            </w:r>
          </w:p>
        </w:tc>
        <w:tc>
          <w:tcPr>
            <w:tcW w:w="4255" w:type="dxa"/>
            <w:tcBorders>
              <w:top w:val="single" w:color="000000" w:sz="4" w:space="0"/>
              <w:left w:val="single" w:color="000000" w:sz="4" w:space="0"/>
              <w:bottom w:val="single" w:color="000000" w:sz="4" w:space="0"/>
              <w:right w:val="single" w:color="000000" w:sz="4" w:space="0"/>
            </w:tcBorders>
            <w:vAlign w:val="center"/>
          </w:tcPr>
          <w:p w14:paraId="5608CA02">
            <w:pPr>
              <w:pStyle w:val="8"/>
              <w:spacing w:before="108" w:line="273" w:lineRule="auto"/>
              <w:ind w:right="102"/>
              <w:jc w:val="center"/>
              <w:rPr>
                <w:rFonts w:ascii="Times New Roman" w:hAnsi="Times New Roman" w:eastAsia="宋体" w:cs="Times New Roman"/>
                <w:sz w:val="21"/>
                <w:szCs w:val="21"/>
              </w:rPr>
            </w:pPr>
            <w:r>
              <w:rPr>
                <w:rFonts w:ascii="Times New Roman" w:hAnsi="Times New Roman" w:eastAsia="宋体" w:cs="Times New Roman"/>
                <w:sz w:val="21"/>
                <w:szCs w:val="21"/>
              </w:rPr>
              <w:t>敏感支流和主要一级支流</w:t>
            </w:r>
          </w:p>
        </w:tc>
        <w:tc>
          <w:tcPr>
            <w:tcW w:w="2841" w:type="dxa"/>
            <w:tcBorders>
              <w:top w:val="single" w:color="000000" w:sz="4" w:space="0"/>
              <w:left w:val="single" w:color="000000" w:sz="4" w:space="0"/>
              <w:bottom w:val="single" w:color="000000" w:sz="4" w:space="0"/>
              <w:right w:val="single" w:color="000000" w:sz="4" w:space="0"/>
            </w:tcBorders>
            <w:vAlign w:val="center"/>
          </w:tcPr>
          <w:p w14:paraId="04DAAF13">
            <w:pPr>
              <w:pStyle w:val="8"/>
              <w:spacing w:before="108" w:line="273" w:lineRule="auto"/>
              <w:ind w:right="102"/>
              <w:jc w:val="center"/>
              <w:rPr>
                <w:rFonts w:ascii="Times New Roman" w:hAnsi="Times New Roman" w:eastAsia="宋体" w:cs="Times New Roman"/>
                <w:sz w:val="21"/>
                <w:szCs w:val="21"/>
              </w:rPr>
            </w:pPr>
            <w:r>
              <w:rPr>
                <w:rFonts w:ascii="Times New Roman" w:hAnsi="Times New Roman" w:eastAsia="宋体" w:cs="Times New Roman"/>
                <w:sz w:val="21"/>
                <w:szCs w:val="21"/>
              </w:rPr>
              <w:t>0.2</w:t>
            </w:r>
          </w:p>
        </w:tc>
      </w:tr>
      <w:tr w14:paraId="2B1E5FE0">
        <w:tblPrEx>
          <w:tblCellMar>
            <w:top w:w="0" w:type="dxa"/>
            <w:left w:w="0" w:type="dxa"/>
            <w:bottom w:w="0" w:type="dxa"/>
            <w:right w:w="0" w:type="dxa"/>
          </w:tblCellMar>
        </w:tblPrEx>
        <w:trPr>
          <w:trHeight w:val="425" w:hRule="exact"/>
        </w:trPr>
        <w:tc>
          <w:tcPr>
            <w:tcW w:w="1426" w:type="dxa"/>
            <w:tcBorders>
              <w:top w:val="single" w:color="000000" w:sz="4" w:space="0"/>
              <w:left w:val="single" w:color="000000" w:sz="4" w:space="0"/>
              <w:bottom w:val="single" w:color="000000" w:sz="4" w:space="0"/>
              <w:right w:val="single" w:color="000000" w:sz="4" w:space="0"/>
            </w:tcBorders>
            <w:vAlign w:val="center"/>
          </w:tcPr>
          <w:p w14:paraId="5A27C21F">
            <w:pPr>
              <w:pStyle w:val="8"/>
              <w:spacing w:before="108" w:line="273" w:lineRule="auto"/>
              <w:ind w:right="102"/>
              <w:jc w:val="center"/>
              <w:rPr>
                <w:rFonts w:ascii="Times New Roman" w:hAnsi="Times New Roman" w:eastAsia="宋体" w:cs="Times New Roman"/>
                <w:sz w:val="21"/>
                <w:szCs w:val="21"/>
              </w:rPr>
            </w:pPr>
            <w:r>
              <w:rPr>
                <w:rFonts w:ascii="Times New Roman" w:hAnsi="Times New Roman" w:eastAsia="宋体" w:cs="Times New Roman"/>
                <w:sz w:val="21"/>
                <w:szCs w:val="21"/>
              </w:rPr>
              <w:t>3</w:t>
            </w:r>
          </w:p>
        </w:tc>
        <w:tc>
          <w:tcPr>
            <w:tcW w:w="4255" w:type="dxa"/>
            <w:tcBorders>
              <w:top w:val="single" w:color="000000" w:sz="4" w:space="0"/>
              <w:left w:val="single" w:color="000000" w:sz="4" w:space="0"/>
              <w:bottom w:val="single" w:color="000000" w:sz="4" w:space="0"/>
              <w:right w:val="single" w:color="000000" w:sz="4" w:space="0"/>
            </w:tcBorders>
            <w:vAlign w:val="center"/>
          </w:tcPr>
          <w:p w14:paraId="466D1924">
            <w:pPr>
              <w:pStyle w:val="8"/>
              <w:spacing w:before="108" w:line="273" w:lineRule="auto"/>
              <w:ind w:right="102"/>
              <w:jc w:val="center"/>
              <w:rPr>
                <w:rFonts w:ascii="Times New Roman" w:hAnsi="Times New Roman" w:eastAsia="宋体" w:cs="Times New Roman"/>
                <w:sz w:val="21"/>
                <w:szCs w:val="21"/>
              </w:rPr>
            </w:pPr>
            <w:r>
              <w:rPr>
                <w:rFonts w:ascii="Times New Roman" w:hAnsi="Times New Roman" w:eastAsia="宋体" w:cs="Times New Roman"/>
                <w:sz w:val="21"/>
                <w:szCs w:val="21"/>
              </w:rPr>
              <w:t>一般一级支流</w:t>
            </w:r>
          </w:p>
        </w:tc>
        <w:tc>
          <w:tcPr>
            <w:tcW w:w="2841" w:type="dxa"/>
            <w:tcBorders>
              <w:top w:val="single" w:color="000000" w:sz="4" w:space="0"/>
              <w:left w:val="single" w:color="000000" w:sz="4" w:space="0"/>
              <w:bottom w:val="single" w:color="000000" w:sz="4" w:space="0"/>
              <w:right w:val="single" w:color="000000" w:sz="4" w:space="0"/>
            </w:tcBorders>
            <w:vAlign w:val="center"/>
          </w:tcPr>
          <w:p w14:paraId="38F240D1">
            <w:pPr>
              <w:pStyle w:val="8"/>
              <w:spacing w:before="108" w:line="273" w:lineRule="auto"/>
              <w:ind w:right="102"/>
              <w:jc w:val="center"/>
              <w:rPr>
                <w:rFonts w:ascii="Times New Roman" w:hAnsi="Times New Roman" w:eastAsia="宋体" w:cs="Times New Roman"/>
                <w:sz w:val="21"/>
                <w:szCs w:val="21"/>
              </w:rPr>
            </w:pPr>
            <w:r>
              <w:rPr>
                <w:rFonts w:ascii="Times New Roman" w:hAnsi="Times New Roman" w:eastAsia="宋体" w:cs="Times New Roman"/>
                <w:sz w:val="21"/>
                <w:szCs w:val="21"/>
              </w:rPr>
              <w:t>0.1</w:t>
            </w:r>
          </w:p>
        </w:tc>
      </w:tr>
      <w:tr w14:paraId="48A1D184">
        <w:tblPrEx>
          <w:tblCellMar>
            <w:top w:w="0" w:type="dxa"/>
            <w:left w:w="0" w:type="dxa"/>
            <w:bottom w:w="0" w:type="dxa"/>
            <w:right w:w="0" w:type="dxa"/>
          </w:tblCellMar>
        </w:tblPrEx>
        <w:trPr>
          <w:trHeight w:val="425" w:hRule="exact"/>
        </w:trPr>
        <w:tc>
          <w:tcPr>
            <w:tcW w:w="1426" w:type="dxa"/>
            <w:tcBorders>
              <w:top w:val="single" w:color="000000" w:sz="4" w:space="0"/>
              <w:left w:val="single" w:color="000000" w:sz="4" w:space="0"/>
              <w:bottom w:val="single" w:color="000000" w:sz="4" w:space="0"/>
              <w:right w:val="single" w:color="000000" w:sz="4" w:space="0"/>
            </w:tcBorders>
            <w:vAlign w:val="center"/>
          </w:tcPr>
          <w:p w14:paraId="0F19FD5E">
            <w:pPr>
              <w:pStyle w:val="8"/>
              <w:spacing w:before="108" w:line="273" w:lineRule="auto"/>
              <w:ind w:right="102"/>
              <w:jc w:val="center"/>
              <w:rPr>
                <w:rFonts w:ascii="Times New Roman" w:hAnsi="Times New Roman" w:eastAsia="宋体" w:cs="Times New Roman"/>
                <w:sz w:val="21"/>
                <w:szCs w:val="21"/>
              </w:rPr>
            </w:pPr>
            <w:r>
              <w:rPr>
                <w:rFonts w:ascii="Times New Roman" w:hAnsi="Times New Roman" w:eastAsia="宋体" w:cs="Times New Roman"/>
                <w:sz w:val="21"/>
                <w:szCs w:val="21"/>
              </w:rPr>
              <w:t>4</w:t>
            </w:r>
          </w:p>
        </w:tc>
        <w:tc>
          <w:tcPr>
            <w:tcW w:w="4255" w:type="dxa"/>
            <w:tcBorders>
              <w:top w:val="single" w:color="000000" w:sz="4" w:space="0"/>
              <w:left w:val="single" w:color="000000" w:sz="4" w:space="0"/>
              <w:bottom w:val="single" w:color="000000" w:sz="4" w:space="0"/>
              <w:right w:val="single" w:color="000000" w:sz="4" w:space="0"/>
            </w:tcBorders>
            <w:vAlign w:val="center"/>
          </w:tcPr>
          <w:p w14:paraId="6AFACD8D">
            <w:pPr>
              <w:pStyle w:val="8"/>
              <w:spacing w:before="108" w:line="273" w:lineRule="auto"/>
              <w:ind w:right="102"/>
              <w:jc w:val="center"/>
              <w:rPr>
                <w:rFonts w:ascii="Times New Roman" w:hAnsi="Times New Roman" w:eastAsia="宋体" w:cs="Times New Roman"/>
                <w:sz w:val="21"/>
                <w:szCs w:val="21"/>
              </w:rPr>
            </w:pPr>
            <w:r>
              <w:rPr>
                <w:rFonts w:ascii="Times New Roman" w:hAnsi="Times New Roman" w:eastAsia="宋体" w:cs="Times New Roman"/>
                <w:sz w:val="21"/>
                <w:szCs w:val="21"/>
              </w:rPr>
              <w:t>其它</w:t>
            </w:r>
          </w:p>
        </w:tc>
        <w:tc>
          <w:tcPr>
            <w:tcW w:w="2841" w:type="dxa"/>
            <w:tcBorders>
              <w:top w:val="single" w:color="000000" w:sz="4" w:space="0"/>
              <w:left w:val="single" w:color="000000" w:sz="4" w:space="0"/>
              <w:bottom w:val="single" w:color="000000" w:sz="4" w:space="0"/>
              <w:right w:val="single" w:color="000000" w:sz="4" w:space="0"/>
            </w:tcBorders>
            <w:vAlign w:val="center"/>
          </w:tcPr>
          <w:p w14:paraId="0751E27E">
            <w:pPr>
              <w:pStyle w:val="8"/>
              <w:spacing w:before="108" w:line="273" w:lineRule="auto"/>
              <w:ind w:right="102"/>
              <w:jc w:val="center"/>
              <w:rPr>
                <w:rFonts w:ascii="Times New Roman" w:hAnsi="Times New Roman" w:eastAsia="宋体" w:cs="Times New Roman"/>
                <w:sz w:val="21"/>
                <w:szCs w:val="21"/>
              </w:rPr>
            </w:pPr>
            <w:r>
              <w:rPr>
                <w:rFonts w:ascii="Times New Roman" w:hAnsi="Times New Roman" w:eastAsia="宋体" w:cs="Times New Roman"/>
                <w:sz w:val="21"/>
                <w:szCs w:val="21"/>
              </w:rPr>
              <w:t>0.0</w:t>
            </w:r>
          </w:p>
        </w:tc>
      </w:tr>
    </w:tbl>
    <w:p w14:paraId="3D611D9D">
      <w:pPr>
        <w:pStyle w:val="5"/>
        <w:spacing w:before="40"/>
        <w:ind w:left="700" w:right="219"/>
      </w:pPr>
      <w:r>
        <w:t>附加调整系数按下表取值</w:t>
      </w:r>
    </w:p>
    <w:p w14:paraId="44F79262">
      <w:pPr>
        <w:spacing w:before="9"/>
        <w:rPr>
          <w:sz w:val="8"/>
          <w:szCs w:val="8"/>
        </w:rPr>
      </w:pPr>
    </w:p>
    <w:tbl>
      <w:tblPr>
        <w:tblStyle w:val="6"/>
        <w:tblW w:w="0" w:type="auto"/>
        <w:tblInd w:w="107" w:type="dxa"/>
        <w:tblLayout w:type="fixed"/>
        <w:tblCellMar>
          <w:top w:w="0" w:type="dxa"/>
          <w:left w:w="0" w:type="dxa"/>
          <w:bottom w:w="0" w:type="dxa"/>
          <w:right w:w="0" w:type="dxa"/>
        </w:tblCellMar>
      </w:tblPr>
      <w:tblGrid>
        <w:gridCol w:w="1441"/>
        <w:gridCol w:w="4240"/>
        <w:gridCol w:w="2841"/>
      </w:tblGrid>
      <w:tr w14:paraId="5A3EECD6">
        <w:tblPrEx>
          <w:tblCellMar>
            <w:top w:w="0" w:type="dxa"/>
            <w:left w:w="0" w:type="dxa"/>
            <w:bottom w:w="0" w:type="dxa"/>
            <w:right w:w="0" w:type="dxa"/>
          </w:tblCellMar>
        </w:tblPrEx>
        <w:trPr>
          <w:trHeight w:val="425" w:hRule="exact"/>
        </w:trPr>
        <w:tc>
          <w:tcPr>
            <w:tcW w:w="1441" w:type="dxa"/>
            <w:tcBorders>
              <w:top w:val="single" w:color="000000" w:sz="4" w:space="0"/>
              <w:left w:val="single" w:color="000000" w:sz="4" w:space="0"/>
              <w:bottom w:val="single" w:color="000000" w:sz="4" w:space="0"/>
              <w:right w:val="single" w:color="000000" w:sz="4" w:space="0"/>
            </w:tcBorders>
          </w:tcPr>
          <w:p w14:paraId="1372988F">
            <w:pPr>
              <w:pStyle w:val="8"/>
              <w:spacing w:before="108" w:line="273" w:lineRule="auto"/>
              <w:ind w:right="102"/>
              <w:jc w:val="center"/>
              <w:rPr>
                <w:rFonts w:ascii="Times New Roman" w:hAnsi="Times New Roman" w:eastAsia="宋体" w:cs="Times New Roman"/>
                <w:sz w:val="21"/>
                <w:szCs w:val="21"/>
              </w:rPr>
            </w:pPr>
            <w:r>
              <w:rPr>
                <w:rFonts w:ascii="Times New Roman" w:hAnsi="Times New Roman" w:eastAsia="宋体" w:cs="Times New Roman"/>
                <w:sz w:val="21"/>
                <w:szCs w:val="21"/>
              </w:rPr>
              <w:t>序号</w:t>
            </w:r>
          </w:p>
        </w:tc>
        <w:tc>
          <w:tcPr>
            <w:tcW w:w="4240" w:type="dxa"/>
            <w:tcBorders>
              <w:top w:val="single" w:color="000000" w:sz="4" w:space="0"/>
              <w:left w:val="single" w:color="000000" w:sz="4" w:space="0"/>
              <w:bottom w:val="single" w:color="000000" w:sz="4" w:space="0"/>
              <w:right w:val="single" w:color="000000" w:sz="4" w:space="0"/>
            </w:tcBorders>
          </w:tcPr>
          <w:p w14:paraId="526A3610">
            <w:pPr>
              <w:pStyle w:val="8"/>
              <w:spacing w:before="108" w:line="273" w:lineRule="auto"/>
              <w:ind w:right="102"/>
              <w:jc w:val="center"/>
              <w:rPr>
                <w:rFonts w:ascii="Times New Roman" w:hAnsi="Times New Roman" w:eastAsia="宋体" w:cs="Times New Roman"/>
                <w:sz w:val="21"/>
                <w:szCs w:val="21"/>
              </w:rPr>
            </w:pPr>
            <w:r>
              <w:rPr>
                <w:rFonts w:ascii="Times New Roman" w:hAnsi="Times New Roman" w:eastAsia="宋体" w:cs="Times New Roman"/>
                <w:sz w:val="21"/>
                <w:szCs w:val="21"/>
              </w:rPr>
              <w:t>工作深度</w:t>
            </w:r>
          </w:p>
        </w:tc>
        <w:tc>
          <w:tcPr>
            <w:tcW w:w="2841" w:type="dxa"/>
            <w:tcBorders>
              <w:top w:val="single" w:color="000000" w:sz="4" w:space="0"/>
              <w:left w:val="single" w:color="000000" w:sz="4" w:space="0"/>
              <w:bottom w:val="single" w:color="000000" w:sz="4" w:space="0"/>
              <w:right w:val="single" w:color="000000" w:sz="4" w:space="0"/>
            </w:tcBorders>
          </w:tcPr>
          <w:p w14:paraId="42FE6F7D">
            <w:pPr>
              <w:pStyle w:val="8"/>
              <w:spacing w:before="108" w:line="273" w:lineRule="auto"/>
              <w:ind w:right="102"/>
              <w:jc w:val="center"/>
              <w:rPr>
                <w:rFonts w:ascii="Times New Roman" w:hAnsi="Times New Roman" w:eastAsia="宋体" w:cs="Times New Roman"/>
                <w:sz w:val="21"/>
                <w:szCs w:val="21"/>
              </w:rPr>
            </w:pPr>
            <w:r>
              <w:rPr>
                <w:rFonts w:ascii="Times New Roman" w:hAnsi="Times New Roman" w:eastAsia="宋体" w:cs="Times New Roman"/>
                <w:sz w:val="21"/>
                <w:szCs w:val="21"/>
              </w:rPr>
              <w:t>附加系数</w:t>
            </w:r>
          </w:p>
        </w:tc>
      </w:tr>
      <w:tr w14:paraId="21A66435">
        <w:tblPrEx>
          <w:tblCellMar>
            <w:top w:w="0" w:type="dxa"/>
            <w:left w:w="0" w:type="dxa"/>
            <w:bottom w:w="0" w:type="dxa"/>
            <w:right w:w="0" w:type="dxa"/>
          </w:tblCellMar>
        </w:tblPrEx>
        <w:trPr>
          <w:trHeight w:val="425" w:hRule="exact"/>
        </w:trPr>
        <w:tc>
          <w:tcPr>
            <w:tcW w:w="1441" w:type="dxa"/>
            <w:tcBorders>
              <w:top w:val="single" w:color="000000" w:sz="4" w:space="0"/>
              <w:left w:val="single" w:color="000000" w:sz="4" w:space="0"/>
              <w:bottom w:val="single" w:color="000000" w:sz="4" w:space="0"/>
              <w:right w:val="single" w:color="000000" w:sz="4" w:space="0"/>
            </w:tcBorders>
          </w:tcPr>
          <w:p w14:paraId="5293E0A3">
            <w:pPr>
              <w:pStyle w:val="8"/>
              <w:spacing w:before="108" w:line="273" w:lineRule="auto"/>
              <w:ind w:right="102"/>
              <w:jc w:val="center"/>
              <w:rPr>
                <w:rFonts w:ascii="Times New Roman" w:hAnsi="Times New Roman" w:eastAsia="宋体" w:cs="Times New Roman"/>
                <w:sz w:val="21"/>
                <w:szCs w:val="21"/>
              </w:rPr>
            </w:pPr>
            <w:r>
              <w:rPr>
                <w:rFonts w:ascii="Times New Roman" w:hAnsi="Times New Roman" w:eastAsia="宋体" w:cs="Times New Roman"/>
                <w:sz w:val="21"/>
                <w:szCs w:val="21"/>
              </w:rPr>
              <w:t>1</w:t>
            </w:r>
          </w:p>
        </w:tc>
        <w:tc>
          <w:tcPr>
            <w:tcW w:w="4240" w:type="dxa"/>
            <w:tcBorders>
              <w:top w:val="single" w:color="000000" w:sz="4" w:space="0"/>
              <w:left w:val="single" w:color="000000" w:sz="4" w:space="0"/>
              <w:bottom w:val="single" w:color="000000" w:sz="4" w:space="0"/>
              <w:right w:val="single" w:color="000000" w:sz="4" w:space="0"/>
            </w:tcBorders>
          </w:tcPr>
          <w:p w14:paraId="538FAB07">
            <w:pPr>
              <w:pStyle w:val="8"/>
              <w:spacing w:before="108" w:line="273" w:lineRule="auto"/>
              <w:ind w:right="102"/>
              <w:jc w:val="center"/>
              <w:rPr>
                <w:rFonts w:ascii="Times New Roman" w:hAnsi="Times New Roman" w:eastAsia="宋体" w:cs="Times New Roman"/>
                <w:sz w:val="21"/>
                <w:szCs w:val="21"/>
              </w:rPr>
            </w:pPr>
            <w:r>
              <w:rPr>
                <w:rFonts w:ascii="Times New Roman" w:hAnsi="Times New Roman" w:eastAsia="宋体" w:cs="Times New Roman"/>
                <w:sz w:val="21"/>
                <w:szCs w:val="21"/>
              </w:rPr>
              <w:t>渗流稳定复核</w:t>
            </w:r>
          </w:p>
        </w:tc>
        <w:tc>
          <w:tcPr>
            <w:tcW w:w="2841" w:type="dxa"/>
            <w:tcBorders>
              <w:top w:val="single" w:color="000000" w:sz="4" w:space="0"/>
              <w:left w:val="single" w:color="000000" w:sz="4" w:space="0"/>
              <w:bottom w:val="single" w:color="000000" w:sz="4" w:space="0"/>
              <w:right w:val="single" w:color="000000" w:sz="4" w:space="0"/>
            </w:tcBorders>
          </w:tcPr>
          <w:p w14:paraId="173B903C">
            <w:pPr>
              <w:pStyle w:val="8"/>
              <w:spacing w:before="108" w:line="273" w:lineRule="auto"/>
              <w:ind w:right="102"/>
              <w:jc w:val="center"/>
              <w:rPr>
                <w:rFonts w:ascii="Times New Roman" w:hAnsi="Times New Roman" w:eastAsia="宋体" w:cs="Times New Roman"/>
                <w:sz w:val="21"/>
                <w:szCs w:val="21"/>
              </w:rPr>
            </w:pPr>
            <w:r>
              <w:rPr>
                <w:rFonts w:ascii="Times New Roman" w:hAnsi="Times New Roman" w:eastAsia="宋体" w:cs="Times New Roman"/>
                <w:sz w:val="21"/>
                <w:szCs w:val="21"/>
              </w:rPr>
              <w:t>0.2</w:t>
            </w:r>
          </w:p>
        </w:tc>
      </w:tr>
      <w:tr w14:paraId="00857496">
        <w:tblPrEx>
          <w:tblCellMar>
            <w:top w:w="0" w:type="dxa"/>
            <w:left w:w="0" w:type="dxa"/>
            <w:bottom w:w="0" w:type="dxa"/>
            <w:right w:w="0" w:type="dxa"/>
          </w:tblCellMar>
        </w:tblPrEx>
        <w:trPr>
          <w:trHeight w:val="425" w:hRule="exact"/>
        </w:trPr>
        <w:tc>
          <w:tcPr>
            <w:tcW w:w="1441" w:type="dxa"/>
            <w:tcBorders>
              <w:top w:val="single" w:color="000000" w:sz="4" w:space="0"/>
              <w:left w:val="single" w:color="000000" w:sz="4" w:space="0"/>
              <w:bottom w:val="single" w:color="000000" w:sz="4" w:space="0"/>
              <w:right w:val="single" w:color="000000" w:sz="4" w:space="0"/>
            </w:tcBorders>
          </w:tcPr>
          <w:p w14:paraId="631E3A6D">
            <w:pPr>
              <w:pStyle w:val="8"/>
              <w:spacing w:before="108" w:line="273" w:lineRule="auto"/>
              <w:ind w:right="102"/>
              <w:jc w:val="center"/>
              <w:rPr>
                <w:rFonts w:ascii="Times New Roman" w:hAnsi="Times New Roman" w:eastAsia="宋体" w:cs="Times New Roman"/>
                <w:sz w:val="21"/>
                <w:szCs w:val="21"/>
              </w:rPr>
            </w:pPr>
            <w:r>
              <w:rPr>
                <w:rFonts w:ascii="Times New Roman" w:hAnsi="Times New Roman" w:eastAsia="宋体" w:cs="Times New Roman"/>
                <w:sz w:val="21"/>
                <w:szCs w:val="21"/>
              </w:rPr>
              <w:t>2</w:t>
            </w:r>
          </w:p>
        </w:tc>
        <w:tc>
          <w:tcPr>
            <w:tcW w:w="4240" w:type="dxa"/>
            <w:tcBorders>
              <w:top w:val="single" w:color="000000" w:sz="4" w:space="0"/>
              <w:left w:val="single" w:color="000000" w:sz="4" w:space="0"/>
              <w:bottom w:val="single" w:color="000000" w:sz="4" w:space="0"/>
              <w:right w:val="single" w:color="000000" w:sz="4" w:space="0"/>
            </w:tcBorders>
          </w:tcPr>
          <w:p w14:paraId="60A7C431">
            <w:pPr>
              <w:pStyle w:val="8"/>
              <w:spacing w:before="108" w:line="273" w:lineRule="auto"/>
              <w:ind w:right="102"/>
              <w:jc w:val="center"/>
              <w:rPr>
                <w:rFonts w:ascii="Times New Roman" w:hAnsi="Times New Roman" w:eastAsia="宋体" w:cs="Times New Roman"/>
                <w:sz w:val="21"/>
                <w:szCs w:val="21"/>
              </w:rPr>
            </w:pPr>
            <w:r>
              <w:rPr>
                <w:rFonts w:ascii="Times New Roman" w:hAnsi="Times New Roman" w:eastAsia="宋体" w:cs="Times New Roman"/>
                <w:sz w:val="21"/>
                <w:szCs w:val="21"/>
              </w:rPr>
              <w:t>结构安全复核</w:t>
            </w:r>
          </w:p>
        </w:tc>
        <w:tc>
          <w:tcPr>
            <w:tcW w:w="2841" w:type="dxa"/>
            <w:tcBorders>
              <w:top w:val="single" w:color="000000" w:sz="4" w:space="0"/>
              <w:left w:val="single" w:color="000000" w:sz="4" w:space="0"/>
              <w:bottom w:val="single" w:color="000000" w:sz="4" w:space="0"/>
              <w:right w:val="single" w:color="000000" w:sz="4" w:space="0"/>
            </w:tcBorders>
          </w:tcPr>
          <w:p w14:paraId="53BFCB07">
            <w:pPr>
              <w:pStyle w:val="8"/>
              <w:spacing w:before="108" w:line="273" w:lineRule="auto"/>
              <w:ind w:right="102"/>
              <w:jc w:val="center"/>
              <w:rPr>
                <w:rFonts w:ascii="Times New Roman" w:hAnsi="Times New Roman" w:eastAsia="宋体" w:cs="Times New Roman"/>
                <w:sz w:val="21"/>
                <w:szCs w:val="21"/>
              </w:rPr>
            </w:pPr>
            <w:r>
              <w:rPr>
                <w:rFonts w:ascii="Times New Roman" w:hAnsi="Times New Roman" w:eastAsia="宋体" w:cs="Times New Roman"/>
                <w:sz w:val="21"/>
                <w:szCs w:val="21"/>
              </w:rPr>
              <w:t>0.2</w:t>
            </w:r>
          </w:p>
        </w:tc>
      </w:tr>
      <w:tr w14:paraId="46106E61">
        <w:tblPrEx>
          <w:tblCellMar>
            <w:top w:w="0" w:type="dxa"/>
            <w:left w:w="0" w:type="dxa"/>
            <w:bottom w:w="0" w:type="dxa"/>
            <w:right w:w="0" w:type="dxa"/>
          </w:tblCellMar>
        </w:tblPrEx>
        <w:trPr>
          <w:trHeight w:val="425" w:hRule="exact"/>
        </w:trPr>
        <w:tc>
          <w:tcPr>
            <w:tcW w:w="1441" w:type="dxa"/>
            <w:tcBorders>
              <w:top w:val="single" w:color="000000" w:sz="4" w:space="0"/>
              <w:left w:val="single" w:color="000000" w:sz="4" w:space="0"/>
              <w:bottom w:val="single" w:color="000000" w:sz="4" w:space="0"/>
              <w:right w:val="single" w:color="000000" w:sz="4" w:space="0"/>
            </w:tcBorders>
          </w:tcPr>
          <w:p w14:paraId="54D7572F">
            <w:pPr>
              <w:pStyle w:val="8"/>
              <w:spacing w:before="108" w:line="273" w:lineRule="auto"/>
              <w:ind w:right="102"/>
              <w:jc w:val="center"/>
              <w:rPr>
                <w:rFonts w:ascii="Times New Roman" w:hAnsi="Times New Roman" w:eastAsia="宋体" w:cs="Times New Roman"/>
                <w:sz w:val="21"/>
                <w:szCs w:val="21"/>
              </w:rPr>
            </w:pPr>
            <w:r>
              <w:rPr>
                <w:rFonts w:ascii="Times New Roman" w:hAnsi="Times New Roman" w:eastAsia="宋体" w:cs="Times New Roman"/>
                <w:sz w:val="21"/>
                <w:szCs w:val="21"/>
              </w:rPr>
              <w:t>3</w:t>
            </w:r>
          </w:p>
        </w:tc>
        <w:tc>
          <w:tcPr>
            <w:tcW w:w="4240" w:type="dxa"/>
            <w:tcBorders>
              <w:top w:val="single" w:color="000000" w:sz="4" w:space="0"/>
              <w:left w:val="single" w:color="000000" w:sz="4" w:space="0"/>
              <w:bottom w:val="single" w:color="000000" w:sz="4" w:space="0"/>
              <w:right w:val="single" w:color="000000" w:sz="4" w:space="0"/>
            </w:tcBorders>
          </w:tcPr>
          <w:p w14:paraId="11A4A084">
            <w:pPr>
              <w:pStyle w:val="8"/>
              <w:spacing w:before="108" w:line="273" w:lineRule="auto"/>
              <w:ind w:right="102"/>
              <w:jc w:val="center"/>
              <w:rPr>
                <w:rFonts w:ascii="Times New Roman" w:hAnsi="Times New Roman" w:eastAsia="宋体" w:cs="Times New Roman"/>
                <w:sz w:val="21"/>
                <w:szCs w:val="21"/>
              </w:rPr>
            </w:pPr>
            <w:r>
              <w:rPr>
                <w:rFonts w:ascii="Times New Roman" w:hAnsi="Times New Roman" w:eastAsia="宋体" w:cs="Times New Roman"/>
                <w:sz w:val="21"/>
                <w:szCs w:val="21"/>
              </w:rPr>
              <w:t>抗滑稳定安全复核</w:t>
            </w:r>
          </w:p>
        </w:tc>
        <w:tc>
          <w:tcPr>
            <w:tcW w:w="2841" w:type="dxa"/>
            <w:tcBorders>
              <w:top w:val="single" w:color="000000" w:sz="4" w:space="0"/>
              <w:left w:val="single" w:color="000000" w:sz="4" w:space="0"/>
              <w:bottom w:val="single" w:color="000000" w:sz="4" w:space="0"/>
              <w:right w:val="single" w:color="000000" w:sz="4" w:space="0"/>
            </w:tcBorders>
          </w:tcPr>
          <w:p w14:paraId="310F4555">
            <w:pPr>
              <w:pStyle w:val="8"/>
              <w:spacing w:before="108" w:line="273" w:lineRule="auto"/>
              <w:ind w:right="102"/>
              <w:jc w:val="center"/>
              <w:rPr>
                <w:rFonts w:ascii="Times New Roman" w:hAnsi="Times New Roman" w:eastAsia="宋体" w:cs="Times New Roman"/>
                <w:sz w:val="21"/>
                <w:szCs w:val="21"/>
              </w:rPr>
            </w:pPr>
            <w:r>
              <w:rPr>
                <w:rFonts w:ascii="Times New Roman" w:hAnsi="Times New Roman" w:eastAsia="宋体" w:cs="Times New Roman"/>
                <w:sz w:val="21"/>
                <w:szCs w:val="21"/>
              </w:rPr>
              <w:t>0.2</w:t>
            </w:r>
          </w:p>
        </w:tc>
      </w:tr>
      <w:tr w14:paraId="3A33D6DA">
        <w:tblPrEx>
          <w:tblCellMar>
            <w:top w:w="0" w:type="dxa"/>
            <w:left w:w="0" w:type="dxa"/>
            <w:bottom w:w="0" w:type="dxa"/>
            <w:right w:w="0" w:type="dxa"/>
          </w:tblCellMar>
        </w:tblPrEx>
        <w:trPr>
          <w:trHeight w:val="425" w:hRule="exact"/>
        </w:trPr>
        <w:tc>
          <w:tcPr>
            <w:tcW w:w="1441" w:type="dxa"/>
            <w:tcBorders>
              <w:top w:val="single" w:color="000000" w:sz="4" w:space="0"/>
              <w:left w:val="single" w:color="000000" w:sz="4" w:space="0"/>
              <w:bottom w:val="single" w:color="000000" w:sz="4" w:space="0"/>
              <w:right w:val="single" w:color="000000" w:sz="4" w:space="0"/>
            </w:tcBorders>
          </w:tcPr>
          <w:p w14:paraId="587819E7">
            <w:pPr>
              <w:pStyle w:val="8"/>
              <w:spacing w:before="108" w:line="273" w:lineRule="auto"/>
              <w:ind w:right="102"/>
              <w:jc w:val="center"/>
              <w:rPr>
                <w:rFonts w:ascii="Times New Roman" w:hAnsi="Times New Roman" w:eastAsia="宋体" w:cs="Times New Roman"/>
                <w:sz w:val="21"/>
                <w:szCs w:val="21"/>
              </w:rPr>
            </w:pPr>
            <w:r>
              <w:rPr>
                <w:rFonts w:ascii="Times New Roman" w:hAnsi="Times New Roman" w:eastAsia="宋体" w:cs="Times New Roman"/>
                <w:sz w:val="21"/>
                <w:szCs w:val="21"/>
              </w:rPr>
              <w:t>4</w:t>
            </w:r>
          </w:p>
        </w:tc>
        <w:tc>
          <w:tcPr>
            <w:tcW w:w="4240" w:type="dxa"/>
            <w:tcBorders>
              <w:top w:val="single" w:color="000000" w:sz="4" w:space="0"/>
              <w:left w:val="single" w:color="000000" w:sz="4" w:space="0"/>
              <w:bottom w:val="single" w:color="000000" w:sz="4" w:space="0"/>
              <w:right w:val="single" w:color="000000" w:sz="4" w:space="0"/>
            </w:tcBorders>
          </w:tcPr>
          <w:p w14:paraId="7FA7EDFB">
            <w:pPr>
              <w:pStyle w:val="8"/>
              <w:spacing w:before="108" w:line="273" w:lineRule="auto"/>
              <w:ind w:right="102"/>
              <w:jc w:val="center"/>
              <w:rPr>
                <w:rFonts w:ascii="Times New Roman" w:hAnsi="Times New Roman" w:eastAsia="宋体" w:cs="Times New Roman"/>
                <w:sz w:val="21"/>
                <w:szCs w:val="21"/>
              </w:rPr>
            </w:pPr>
            <w:r>
              <w:rPr>
                <w:rFonts w:ascii="Times New Roman" w:hAnsi="Times New Roman" w:eastAsia="宋体" w:cs="Times New Roman"/>
                <w:sz w:val="21"/>
                <w:szCs w:val="21"/>
              </w:rPr>
              <w:t>演变分析</w:t>
            </w:r>
          </w:p>
        </w:tc>
        <w:tc>
          <w:tcPr>
            <w:tcW w:w="2841" w:type="dxa"/>
            <w:tcBorders>
              <w:top w:val="single" w:color="000000" w:sz="4" w:space="0"/>
              <w:left w:val="single" w:color="000000" w:sz="4" w:space="0"/>
              <w:bottom w:val="single" w:color="000000" w:sz="4" w:space="0"/>
              <w:right w:val="single" w:color="000000" w:sz="4" w:space="0"/>
            </w:tcBorders>
          </w:tcPr>
          <w:p w14:paraId="062C0696">
            <w:pPr>
              <w:pStyle w:val="8"/>
              <w:spacing w:before="108" w:line="273" w:lineRule="auto"/>
              <w:ind w:right="102"/>
              <w:jc w:val="center"/>
              <w:rPr>
                <w:rFonts w:ascii="Times New Roman" w:hAnsi="Times New Roman" w:eastAsia="宋体" w:cs="Times New Roman"/>
                <w:sz w:val="21"/>
                <w:szCs w:val="21"/>
              </w:rPr>
            </w:pPr>
            <w:r>
              <w:rPr>
                <w:rFonts w:ascii="Times New Roman" w:hAnsi="Times New Roman" w:eastAsia="宋体" w:cs="Times New Roman"/>
                <w:sz w:val="21"/>
                <w:szCs w:val="21"/>
              </w:rPr>
              <w:t>0.2</w:t>
            </w:r>
          </w:p>
        </w:tc>
      </w:tr>
      <w:tr w14:paraId="3A12D12F">
        <w:tblPrEx>
          <w:tblCellMar>
            <w:top w:w="0" w:type="dxa"/>
            <w:left w:w="0" w:type="dxa"/>
            <w:bottom w:w="0" w:type="dxa"/>
            <w:right w:w="0" w:type="dxa"/>
          </w:tblCellMar>
        </w:tblPrEx>
        <w:trPr>
          <w:trHeight w:val="425" w:hRule="exact"/>
        </w:trPr>
        <w:tc>
          <w:tcPr>
            <w:tcW w:w="1441" w:type="dxa"/>
            <w:tcBorders>
              <w:top w:val="single" w:color="000000" w:sz="4" w:space="0"/>
              <w:left w:val="single" w:color="000000" w:sz="4" w:space="0"/>
              <w:bottom w:val="single" w:color="000000" w:sz="4" w:space="0"/>
              <w:right w:val="single" w:color="000000" w:sz="4" w:space="0"/>
            </w:tcBorders>
          </w:tcPr>
          <w:p w14:paraId="6A48D5A0">
            <w:pPr>
              <w:pStyle w:val="8"/>
              <w:spacing w:before="108" w:line="273" w:lineRule="auto"/>
              <w:ind w:right="102"/>
              <w:jc w:val="center"/>
              <w:rPr>
                <w:rFonts w:ascii="Times New Roman" w:hAnsi="Times New Roman" w:eastAsia="宋体" w:cs="Times New Roman"/>
                <w:sz w:val="21"/>
                <w:szCs w:val="21"/>
              </w:rPr>
            </w:pPr>
            <w:r>
              <w:rPr>
                <w:rFonts w:ascii="Times New Roman" w:hAnsi="Times New Roman" w:eastAsia="宋体" w:cs="Times New Roman"/>
                <w:sz w:val="21"/>
                <w:szCs w:val="21"/>
              </w:rPr>
              <w:t>5</w:t>
            </w:r>
          </w:p>
        </w:tc>
        <w:tc>
          <w:tcPr>
            <w:tcW w:w="4240" w:type="dxa"/>
            <w:tcBorders>
              <w:top w:val="single" w:color="000000" w:sz="4" w:space="0"/>
              <w:left w:val="single" w:color="000000" w:sz="4" w:space="0"/>
              <w:bottom w:val="single" w:color="000000" w:sz="4" w:space="0"/>
              <w:right w:val="single" w:color="000000" w:sz="4" w:space="0"/>
            </w:tcBorders>
          </w:tcPr>
          <w:p w14:paraId="79193505">
            <w:pPr>
              <w:pStyle w:val="8"/>
              <w:spacing w:before="108" w:line="273" w:lineRule="auto"/>
              <w:ind w:right="102"/>
              <w:jc w:val="center"/>
              <w:rPr>
                <w:rFonts w:ascii="Times New Roman" w:hAnsi="Times New Roman" w:eastAsia="宋体" w:cs="Times New Roman"/>
                <w:sz w:val="21"/>
                <w:szCs w:val="21"/>
              </w:rPr>
            </w:pPr>
            <w:r>
              <w:rPr>
                <w:rFonts w:ascii="Times New Roman" w:hAnsi="Times New Roman" w:eastAsia="宋体" w:cs="Times New Roman"/>
                <w:sz w:val="21"/>
                <w:szCs w:val="21"/>
              </w:rPr>
              <w:t>穿堤或取水管线、泵站，火力发电厂的灰场</w:t>
            </w:r>
          </w:p>
        </w:tc>
        <w:tc>
          <w:tcPr>
            <w:tcW w:w="2841" w:type="dxa"/>
            <w:tcBorders>
              <w:top w:val="single" w:color="000000" w:sz="4" w:space="0"/>
              <w:left w:val="single" w:color="000000" w:sz="4" w:space="0"/>
              <w:bottom w:val="single" w:color="000000" w:sz="4" w:space="0"/>
              <w:right w:val="single" w:color="000000" w:sz="4" w:space="0"/>
            </w:tcBorders>
          </w:tcPr>
          <w:p w14:paraId="532FBEA9">
            <w:pPr>
              <w:pStyle w:val="8"/>
              <w:spacing w:before="108" w:line="273" w:lineRule="auto"/>
              <w:ind w:right="102"/>
              <w:jc w:val="center"/>
              <w:rPr>
                <w:rFonts w:ascii="Times New Roman" w:hAnsi="Times New Roman" w:eastAsia="宋体" w:cs="Times New Roman"/>
                <w:sz w:val="21"/>
                <w:szCs w:val="21"/>
              </w:rPr>
            </w:pPr>
            <w:r>
              <w:rPr>
                <w:rFonts w:ascii="Times New Roman" w:hAnsi="Times New Roman" w:eastAsia="宋体" w:cs="Times New Roman"/>
                <w:sz w:val="21"/>
                <w:szCs w:val="21"/>
              </w:rPr>
              <w:t>0.4</w:t>
            </w:r>
          </w:p>
        </w:tc>
      </w:tr>
      <w:tr w14:paraId="4A381CC3">
        <w:tblPrEx>
          <w:tblCellMar>
            <w:top w:w="0" w:type="dxa"/>
            <w:left w:w="0" w:type="dxa"/>
            <w:bottom w:w="0" w:type="dxa"/>
            <w:right w:w="0" w:type="dxa"/>
          </w:tblCellMar>
        </w:tblPrEx>
        <w:trPr>
          <w:trHeight w:val="425" w:hRule="exact"/>
        </w:trPr>
        <w:tc>
          <w:tcPr>
            <w:tcW w:w="1441" w:type="dxa"/>
            <w:tcBorders>
              <w:top w:val="single" w:color="000000" w:sz="4" w:space="0"/>
              <w:left w:val="single" w:color="000000" w:sz="4" w:space="0"/>
              <w:bottom w:val="single" w:color="000000" w:sz="4" w:space="0"/>
              <w:right w:val="single" w:color="000000" w:sz="4" w:space="0"/>
            </w:tcBorders>
          </w:tcPr>
          <w:p w14:paraId="57541DB6">
            <w:pPr>
              <w:pStyle w:val="8"/>
              <w:spacing w:before="108" w:line="273" w:lineRule="auto"/>
              <w:ind w:right="102"/>
              <w:jc w:val="center"/>
              <w:rPr>
                <w:rFonts w:ascii="Times New Roman" w:hAnsi="Times New Roman" w:eastAsia="宋体" w:cs="Times New Roman"/>
                <w:sz w:val="21"/>
                <w:szCs w:val="21"/>
              </w:rPr>
            </w:pPr>
            <w:r>
              <w:rPr>
                <w:rFonts w:ascii="Times New Roman" w:hAnsi="Times New Roman" w:eastAsia="宋体" w:cs="Times New Roman"/>
                <w:sz w:val="21"/>
                <w:szCs w:val="21"/>
              </w:rPr>
              <w:t>6</w:t>
            </w:r>
          </w:p>
        </w:tc>
        <w:tc>
          <w:tcPr>
            <w:tcW w:w="4240" w:type="dxa"/>
            <w:tcBorders>
              <w:top w:val="single" w:color="000000" w:sz="4" w:space="0"/>
              <w:left w:val="single" w:color="000000" w:sz="4" w:space="0"/>
              <w:bottom w:val="single" w:color="000000" w:sz="4" w:space="0"/>
              <w:right w:val="single" w:color="000000" w:sz="4" w:space="0"/>
            </w:tcBorders>
          </w:tcPr>
          <w:p w14:paraId="05B7E810">
            <w:pPr>
              <w:pStyle w:val="8"/>
              <w:spacing w:before="108" w:line="273" w:lineRule="auto"/>
              <w:ind w:right="102"/>
              <w:jc w:val="center"/>
              <w:rPr>
                <w:rFonts w:ascii="Times New Roman" w:hAnsi="Times New Roman" w:eastAsia="宋体" w:cs="Times New Roman"/>
                <w:sz w:val="21"/>
                <w:szCs w:val="21"/>
              </w:rPr>
            </w:pPr>
            <w:r>
              <w:rPr>
                <w:rFonts w:ascii="Times New Roman" w:hAnsi="Times New Roman" w:eastAsia="宋体" w:cs="Times New Roman"/>
                <w:sz w:val="21"/>
                <w:szCs w:val="21"/>
              </w:rPr>
              <w:t>防洪除涝水位分析</w:t>
            </w:r>
          </w:p>
        </w:tc>
        <w:tc>
          <w:tcPr>
            <w:tcW w:w="2841" w:type="dxa"/>
            <w:tcBorders>
              <w:top w:val="single" w:color="000000" w:sz="4" w:space="0"/>
              <w:left w:val="single" w:color="000000" w:sz="4" w:space="0"/>
              <w:bottom w:val="single" w:color="000000" w:sz="4" w:space="0"/>
              <w:right w:val="single" w:color="000000" w:sz="4" w:space="0"/>
            </w:tcBorders>
          </w:tcPr>
          <w:p w14:paraId="0C17C437">
            <w:pPr>
              <w:pStyle w:val="8"/>
              <w:spacing w:before="108" w:line="273" w:lineRule="auto"/>
              <w:ind w:right="102"/>
              <w:jc w:val="center"/>
              <w:rPr>
                <w:rFonts w:ascii="Times New Roman" w:hAnsi="Times New Roman" w:eastAsia="宋体" w:cs="Times New Roman"/>
                <w:sz w:val="21"/>
                <w:szCs w:val="21"/>
              </w:rPr>
            </w:pPr>
            <w:r>
              <w:rPr>
                <w:rFonts w:ascii="Times New Roman" w:hAnsi="Times New Roman" w:eastAsia="宋体" w:cs="Times New Roman"/>
                <w:sz w:val="21"/>
                <w:szCs w:val="21"/>
              </w:rPr>
              <w:t>0.6</w:t>
            </w:r>
          </w:p>
        </w:tc>
      </w:tr>
    </w:tbl>
    <w:p w14:paraId="232B1B84">
      <w:pPr>
        <w:pStyle w:val="5"/>
        <w:spacing w:after="0" w:line="360" w:lineRule="auto"/>
        <w:ind w:firstLine="420" w:firstLineChars="200"/>
      </w:pPr>
    </w:p>
    <w:p w14:paraId="6F65FEBC">
      <w:pPr>
        <w:pStyle w:val="5"/>
        <w:spacing w:before="55" w:line="357" w:lineRule="auto"/>
        <w:ind w:left="700" w:right="224" w:firstLine="420" w:firstLineChars="200"/>
        <w:sectPr>
          <w:pgSz w:w="11910" w:h="16840"/>
          <w:pgMar w:top="1460" w:right="1560" w:bottom="280" w:left="1580" w:header="720" w:footer="720" w:gutter="0"/>
          <w:cols w:space="720" w:num="1"/>
        </w:sectPr>
      </w:pPr>
    </w:p>
    <w:p w14:paraId="6F1F4190">
      <w:pPr>
        <w:pStyle w:val="5"/>
        <w:keepNext w:val="0"/>
        <w:keepLines w:val="0"/>
        <w:pageBreakBefore w:val="0"/>
        <w:widowControl w:val="0"/>
        <w:kinsoku/>
        <w:wordWrap/>
        <w:overflowPunct/>
        <w:topLinePunct w:val="0"/>
        <w:autoSpaceDE/>
        <w:autoSpaceDN/>
        <w:bidi w:val="0"/>
        <w:adjustRightInd/>
        <w:snapToGrid/>
        <w:spacing w:after="0" w:line="360" w:lineRule="auto"/>
        <w:ind w:left="221" w:right="204" w:firstLine="560" w:firstLineChars="200"/>
        <w:textAlignment w:val="auto"/>
        <w:rPr>
          <w:sz w:val="28"/>
          <w:szCs w:val="28"/>
        </w:rPr>
      </w:pPr>
      <w:r>
        <w:rPr>
          <w:sz w:val="28"/>
          <w:szCs w:val="28"/>
        </w:rPr>
        <w:t>（二）防洪影响处理工程设计费标准防洪影响处理工程包括涉河项目的护坡、护岸、防渗处理、堤防加固、防汛道路、河道断面补偿等，根据有关规定应由具有水利勘察设计资质的单位承担。其设计费标准按照国家计委、建设部《关于发布工程勘察设计收费管理规定的通 知》（计价格【2002】10 号）的规定计列。</w:t>
      </w:r>
    </w:p>
    <w:p w14:paraId="7656090E">
      <w:pPr>
        <w:pStyle w:val="5"/>
        <w:keepNext w:val="0"/>
        <w:keepLines w:val="0"/>
        <w:pageBreakBefore w:val="0"/>
        <w:widowControl w:val="0"/>
        <w:kinsoku/>
        <w:wordWrap/>
        <w:overflowPunct/>
        <w:topLinePunct w:val="0"/>
        <w:autoSpaceDE/>
        <w:autoSpaceDN/>
        <w:bidi w:val="0"/>
        <w:adjustRightInd/>
        <w:snapToGrid/>
        <w:spacing w:after="0" w:line="360" w:lineRule="auto"/>
        <w:ind w:left="221" w:right="204" w:firstLine="560" w:firstLineChars="200"/>
        <w:textAlignment w:val="auto"/>
        <w:rPr>
          <w:sz w:val="28"/>
          <w:szCs w:val="28"/>
        </w:rPr>
      </w:pPr>
      <w:r>
        <w:rPr>
          <w:sz w:val="28"/>
          <w:szCs w:val="28"/>
        </w:rPr>
        <w:t>三、其它</w:t>
      </w:r>
    </w:p>
    <w:p w14:paraId="4BFC6989">
      <w:pPr>
        <w:pStyle w:val="5"/>
        <w:keepNext w:val="0"/>
        <w:keepLines w:val="0"/>
        <w:pageBreakBefore w:val="0"/>
        <w:widowControl w:val="0"/>
        <w:kinsoku/>
        <w:wordWrap/>
        <w:overflowPunct/>
        <w:topLinePunct w:val="0"/>
        <w:autoSpaceDE/>
        <w:autoSpaceDN/>
        <w:bidi w:val="0"/>
        <w:adjustRightInd/>
        <w:snapToGrid/>
        <w:spacing w:after="0" w:line="360" w:lineRule="auto"/>
        <w:ind w:left="221" w:right="204" w:firstLine="560" w:firstLineChars="200"/>
        <w:textAlignment w:val="auto"/>
        <w:rPr>
          <w:sz w:val="28"/>
          <w:szCs w:val="28"/>
        </w:rPr>
      </w:pPr>
      <w:r>
        <w:rPr>
          <w:sz w:val="28"/>
          <w:szCs w:val="28"/>
        </w:rPr>
        <w:t>1、考虑到防洪评价咨询与后续的工程设计关系密切，对防洪评价咨询增加资质要求。根据项目涉及河道、堤防等级，确定评价单位的设计或咨询资质要求，如一、二级堤防须持有水利甲级设计或咨询证书，三、四级堤防须持有水利乙级 设计或咨询证书，其它须持有水利丙级设计或咨询证书。</w:t>
      </w:r>
    </w:p>
    <w:p w14:paraId="0E57C29E">
      <w:pPr>
        <w:pStyle w:val="5"/>
        <w:keepNext w:val="0"/>
        <w:keepLines w:val="0"/>
        <w:pageBreakBefore w:val="0"/>
        <w:widowControl w:val="0"/>
        <w:kinsoku/>
        <w:wordWrap/>
        <w:overflowPunct/>
        <w:topLinePunct w:val="0"/>
        <w:autoSpaceDE/>
        <w:autoSpaceDN/>
        <w:bidi w:val="0"/>
        <w:adjustRightInd/>
        <w:snapToGrid/>
        <w:spacing w:after="0" w:line="360" w:lineRule="auto"/>
        <w:ind w:left="221" w:right="204" w:firstLine="560" w:firstLineChars="200"/>
        <w:textAlignment w:val="auto"/>
        <w:rPr>
          <w:sz w:val="28"/>
          <w:szCs w:val="28"/>
        </w:rPr>
      </w:pPr>
      <w:r>
        <w:rPr>
          <w:sz w:val="28"/>
          <w:szCs w:val="28"/>
        </w:rPr>
        <w:t>2、上述收费标准制定时参考了国家计委、国家环境保护局关于规范环境影响咨询收费有关问题的通知》（计价格【2002】125 号）、水利部《关于开发建设项目水土保持咨询服务费用计列的指导意见》（水保监【2005】22号）等。</w:t>
      </w:r>
    </w:p>
    <w:p w14:paraId="28783CC5">
      <w:pPr>
        <w:pStyle w:val="5"/>
        <w:keepNext w:val="0"/>
        <w:keepLines w:val="0"/>
        <w:pageBreakBefore w:val="0"/>
        <w:widowControl w:val="0"/>
        <w:kinsoku/>
        <w:wordWrap/>
        <w:overflowPunct/>
        <w:topLinePunct w:val="0"/>
        <w:autoSpaceDE/>
        <w:autoSpaceDN/>
        <w:bidi w:val="0"/>
        <w:adjustRightInd/>
        <w:snapToGrid/>
        <w:spacing w:after="0" w:line="360" w:lineRule="auto"/>
        <w:ind w:left="221" w:right="204" w:firstLine="560" w:firstLineChars="200"/>
        <w:textAlignment w:val="auto"/>
        <w:rPr>
          <w:sz w:val="28"/>
          <w:szCs w:val="28"/>
        </w:rPr>
      </w:pPr>
      <w:r>
        <w:rPr>
          <w:sz w:val="28"/>
          <w:szCs w:val="28"/>
        </w:rPr>
        <w:t>3、由于涉河建设项目的投资规模与编制防洪评价的难度及工作量不完全成 正比，较大项目的防洪评价工作量不是成比例增加，故在制定防洪评价报告编制 费标准时考虑了上述因素。</w:t>
      </w:r>
    </w:p>
    <w:p w14:paraId="620A9740">
      <w:pPr>
        <w:pStyle w:val="5"/>
        <w:keepNext w:val="0"/>
        <w:keepLines w:val="0"/>
        <w:pageBreakBefore w:val="0"/>
        <w:widowControl w:val="0"/>
        <w:kinsoku/>
        <w:wordWrap/>
        <w:overflowPunct/>
        <w:topLinePunct w:val="0"/>
        <w:autoSpaceDE/>
        <w:autoSpaceDN/>
        <w:bidi w:val="0"/>
        <w:adjustRightInd/>
        <w:snapToGrid/>
        <w:spacing w:after="0" w:line="360" w:lineRule="auto"/>
        <w:ind w:left="221" w:right="204" w:firstLine="560" w:firstLineChars="200"/>
        <w:textAlignment w:val="auto"/>
        <w:rPr>
          <w:sz w:val="28"/>
          <w:szCs w:val="28"/>
        </w:rPr>
      </w:pPr>
    </w:p>
    <w:p w14:paraId="74471032"/>
    <w:sectPr>
      <w:pgSz w:w="11910" w:h="16840"/>
      <w:pgMar w:top="1460" w:right="1680" w:bottom="280" w:left="168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I2Y2VjZDYwYjQ1ZjRmMmNhNDMxNGYyOTdlNWQ1ZWYifQ=="/>
  </w:docVars>
  <w:rsids>
    <w:rsidRoot w:val="132A2526"/>
    <w:rsid w:val="08BE0B0C"/>
    <w:rsid w:val="132A2526"/>
    <w:rsid w:val="5D2842F3"/>
    <w:rsid w:val="61164056"/>
    <w:rsid w:val="75595CF7"/>
    <w:rsid w:val="7D461D4A"/>
    <w:rsid w:val="7E854363"/>
    <w:rsid w:val="7ECF29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name="Body Text"/>
    <w:lsdException w:qFormat="1" w:uiPriority="99"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iPriority="99"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4">
    <w:name w:val="heading 1"/>
    <w:basedOn w:val="1"/>
    <w:next w:val="1"/>
    <w:qFormat/>
    <w:uiPriority w:val="9"/>
    <w:pPr>
      <w:keepNext/>
      <w:keepLines/>
      <w:spacing w:before="340" w:after="330" w:line="578" w:lineRule="auto"/>
      <w:outlineLvl w:val="0"/>
    </w:pPr>
    <w:rPr>
      <w:b/>
      <w:bCs/>
      <w:kern w:val="44"/>
      <w:sz w:val="44"/>
      <w:szCs w:val="44"/>
    </w:rPr>
  </w:style>
  <w:style w:type="character" w:default="1" w:styleId="7">
    <w:name w:val="Default Paragraph Font"/>
    <w:autoRedefine/>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Body Text First Indent 2"/>
    <w:basedOn w:val="3"/>
    <w:autoRedefine/>
    <w:semiHidden/>
    <w:unhideWhenUsed/>
    <w:qFormat/>
    <w:uiPriority w:val="99"/>
    <w:pPr>
      <w:ind w:firstLine="420" w:firstLineChars="200"/>
    </w:pPr>
  </w:style>
  <w:style w:type="paragraph" w:styleId="3">
    <w:name w:val="Body Text Indent"/>
    <w:basedOn w:val="1"/>
    <w:semiHidden/>
    <w:unhideWhenUsed/>
    <w:qFormat/>
    <w:uiPriority w:val="99"/>
    <w:pPr>
      <w:spacing w:after="120"/>
      <w:ind w:left="420" w:leftChars="200"/>
    </w:pPr>
  </w:style>
  <w:style w:type="paragraph" w:styleId="5">
    <w:name w:val="Body Text"/>
    <w:basedOn w:val="1"/>
    <w:autoRedefine/>
    <w:semiHidden/>
    <w:unhideWhenUsed/>
    <w:qFormat/>
    <w:uiPriority w:val="99"/>
    <w:pPr>
      <w:spacing w:after="120"/>
    </w:pPr>
  </w:style>
  <w:style w:type="paragraph" w:customStyle="1" w:styleId="8">
    <w:name w:val="Table Paragraph"/>
    <w:basedOn w:val="1"/>
    <w:autoRedefine/>
    <w:qFormat/>
    <w:uiPriority w:val="1"/>
    <w:pPr>
      <w:jc w:val="left"/>
    </w:pPr>
    <w:rPr>
      <w:rFonts w:asciiTheme="minorHAnsi" w:hAnsiTheme="minorHAnsi" w:eastAsiaTheme="minorHAnsi" w:cstheme="minorBidi"/>
      <w:kern w:val="0"/>
      <w:sz w:val="22"/>
      <w:szCs w:val="22"/>
      <w:lang w:eastAsia="en-U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1345</Words>
  <Characters>1486</Characters>
  <Lines>0</Lines>
  <Paragraphs>0</Paragraphs>
  <TotalTime>1</TotalTime>
  <ScaleCrop>false</ScaleCrop>
  <LinksUpToDate>false</LinksUpToDate>
  <CharactersWithSpaces>1506</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2022-03-14T02:14:00Z</dcterms:created>
  <dc:creator>泽尧</dc:creator>
  <cp:lastModifiedBy>泽尧</cp:lastModifiedBy>
  <dcterms:modified xsi:type="dcterms:W3CDTF">2025-10-28T07:53:47Z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D7583DBE97DA46D8BFD88D545401653C_13</vt:lpwstr>
  </property>
</Properties>
</file>