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76"/>
        <w:jc w:val="left"/>
      </w:pPr>
      <w:r>
        <w:rPr>
          <w:rFonts w:ascii="Calibri" w:cs="Calibri" w:eastAsia="Calibri" w:hAnsi="Calibri"/>
          <w:b/>
          <w:bCs/>
          <w:i w:val="false"/>
          <w:iCs w:val="false"/>
          <w:color w:val="028090"/>
          <w:sz w:val="20"/>
          <w:szCs w:val="20"/>
        </w:rPr>
        <w:t xml:space="preserve">SCHOOL OF MANAGEMENT — MAE FAH LUANG UNIVERSITY</w:t>
      </w:r>
    </w:p>
    <w:p>
      <w:pPr>
        <w:spacing w:after="20" w:before="0" w:line="276"/>
        <w:jc w:val="left"/>
      </w:pPr>
      <w:r>
        <w:rPr>
          <w:rFonts w:ascii="Calibri" w:cs="Calibri" w:eastAsia="Calibri" w:hAnsi="Calibri"/>
          <w:b w:val="false"/>
          <w:bCs w:val="false"/>
          <w:i w:val="false"/>
          <w:iCs w:val="false"/>
          <w:color w:val="64748B"/>
          <w:sz w:val="20"/>
          <w:szCs w:val="20"/>
        </w:rPr>
        <w:t xml:space="preserve">SOM-BI: School of Management Business Intelligence System</w:t>
      </w:r>
    </w:p>
    <w:p>
      <w:pPr>
        <w:pBdr>
          <w:bottom w:val="single" w:color="028090" w:sz="8" w:space="1"/>
        </w:pBdr>
        <w:spacing w:after="160" w:before="160"/>
      </w:pPr>
    </w:p>
    <w:p>
      <w:pPr>
        <w:spacing w:after="60" w:before="0" w:line="276"/>
        <w:jc w:val="center"/>
      </w:pPr>
      <w:r>
        <w:rPr>
          <w:rFonts w:ascii="Calibri" w:cs="Calibri" w:eastAsia="Calibri" w:hAnsi="Calibri"/>
          <w:b/>
          <w:bCs/>
          <w:i w:val="false"/>
          <w:iCs w:val="false"/>
          <w:color w:val="1E2761"/>
          <w:sz w:val="40"/>
          <w:szCs w:val="40"/>
        </w:rPr>
        <w:t xml:space="preserve">Meeting Outcomes Report</w:t>
      </w:r>
    </w:p>
    <w:p>
      <w:pPr>
        <w:spacing w:after="160" w:before="0" w:line="276"/>
        <w:jc w:val="center"/>
      </w:pPr>
      <w:r>
        <w:rPr>
          <w:rFonts w:ascii="Calibri" w:cs="Calibri" w:eastAsia="Calibri" w:hAnsi="Calibri"/>
          <w:b w:val="false"/>
          <w:bCs w:val="false"/>
          <w:i w:val="false"/>
          <w:iCs w:val="false"/>
          <w:color w:val="028090"/>
          <w:sz w:val="24"/>
          <w:szCs w:val="24"/>
        </w:rPr>
        <w:t xml:space="preserve">KPI API Integration Discussion with University Tech Team</w:t>
      </w:r>
    </w:p>
    <w:tbl>
      <w:tblPr>
        <w:tblW w:type="dxa" w:w="8784"/>
        <w:tblBorders>
          <w:top w:val="none"/>
          <w:left w:val="none"/>
          <w:bottom w:val="none"/>
          <w:right w:val="none"/>
          <w:insideH w:val="none"/>
          <w:insideV w:val="none"/>
        </w:tblBorders>
        <w:tblLayout w:type="fixed"/>
      </w:tblPr>
      <w:tblGrid>
        <w:gridCol w:w="100"/>
        <w:gridCol w:w="100"/>
        <w:gridCol w:w="100"/>
        <w:gridCol w:w="100"/>
      </w:tblGrid>
      <w:tr>
        <w:tc>
          <w:tcPr>
            <w:tcW w:type="dxa" w:w="1581"/>
            <w:tcMar>
              <w:top w:type="dxa" w:w="43"/>
              <w:left w:type="dxa" w:w="115"/>
              <w:bottom w:type="dxa" w:w="43"/>
              <w:right w:type="dxa" w:w="115"/>
            </w:tcMar>
          </w:tcPr>
          <w:p>
            <w:pPr>
              <w:spacing w:after="50" w:before="50"/>
              <w:jc w:val="left"/>
            </w:pPr>
            <w:r>
              <w:rPr>
                <w:rFonts w:ascii="Calibri" w:cs="Calibri" w:eastAsia="Calibri" w:hAnsi="Calibri"/>
                <w:b/>
                <w:bCs/>
                <w:color w:val="64748B"/>
                <w:sz w:val="20"/>
                <w:szCs w:val="20"/>
              </w:rPr>
              <w:t xml:space="preserve">Meeting Date:</w:t>
            </w:r>
          </w:p>
        </w:tc>
        <w:tc>
          <w:tcPr>
            <w:tcW w:type="dxa" w:w="281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Tuesday, March 18, 2026</w:t>
            </w:r>
          </w:p>
        </w:tc>
        <w:tc>
          <w:tcPr>
            <w:tcW w:type="dxa" w:w="1581"/>
            <w:tcMar>
              <w:top w:type="dxa" w:w="43"/>
              <w:left w:type="dxa" w:w="115"/>
              <w:bottom w:type="dxa" w:w="43"/>
              <w:right w:type="dxa" w:w="115"/>
            </w:tcMar>
          </w:tcPr>
          <w:p>
            <w:pPr>
              <w:spacing w:after="50" w:before="50"/>
              <w:jc w:val="left"/>
            </w:pPr>
            <w:r>
              <w:rPr>
                <w:rFonts w:ascii="Calibri" w:cs="Calibri" w:eastAsia="Calibri" w:hAnsi="Calibri"/>
                <w:b/>
                <w:bCs/>
                <w:color w:val="64748B"/>
                <w:sz w:val="20"/>
                <w:szCs w:val="20"/>
              </w:rPr>
              <w:t xml:space="preserve">Project:</w:t>
            </w:r>
          </w:p>
        </w:tc>
        <w:tc>
          <w:tcPr>
            <w:tcW w:type="dxa" w:w="281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SOM-BI Senior Project</w:t>
            </w:r>
          </w:p>
        </w:tc>
      </w:tr>
      <w:tr>
        <w:tc>
          <w:tcPr>
            <w:tcW w:type="dxa" w:w="1581"/>
            <w:tcMar>
              <w:top w:type="dxa" w:w="43"/>
              <w:left w:type="dxa" w:w="115"/>
              <w:bottom w:type="dxa" w:w="43"/>
              <w:right w:type="dxa" w:w="115"/>
            </w:tcMar>
          </w:tcPr>
          <w:p>
            <w:pPr>
              <w:spacing w:after="50" w:before="50"/>
              <w:jc w:val="left"/>
            </w:pPr>
            <w:r>
              <w:rPr>
                <w:rFonts w:ascii="Calibri" w:cs="Calibri" w:eastAsia="Calibri" w:hAnsi="Calibri"/>
                <w:b/>
                <w:bCs/>
                <w:color w:val="64748B"/>
                <w:sz w:val="20"/>
                <w:szCs w:val="20"/>
              </w:rPr>
              <w:t xml:space="preserve">Location:</w:t>
            </w:r>
          </w:p>
        </w:tc>
        <w:tc>
          <w:tcPr>
            <w:tcW w:type="dxa" w:w="281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University Tech Office</w:t>
            </w:r>
          </w:p>
        </w:tc>
        <w:tc>
          <w:tcPr>
            <w:tcW w:type="dxa" w:w="1581"/>
            <w:tcMar>
              <w:top w:type="dxa" w:w="43"/>
              <w:left w:type="dxa" w:w="115"/>
              <w:bottom w:type="dxa" w:w="43"/>
              <w:right w:type="dxa" w:w="115"/>
            </w:tcMar>
          </w:tcPr>
          <w:p>
            <w:pPr>
              <w:spacing w:after="50" w:before="50"/>
              <w:jc w:val="left"/>
            </w:pPr>
            <w:r>
              <w:rPr>
                <w:rFonts w:ascii="Calibri" w:cs="Calibri" w:eastAsia="Calibri" w:hAnsi="Calibri"/>
                <w:b/>
                <w:bCs/>
                <w:color w:val="64748B"/>
                <w:sz w:val="20"/>
                <w:szCs w:val="20"/>
              </w:rPr>
              <w:t xml:space="preserve">Domain:</w:t>
            </w:r>
          </w:p>
        </w:tc>
        <w:tc>
          <w:tcPr>
            <w:tcW w:type="dxa" w:w="281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som.mlbbshop.app</w:t>
            </w:r>
          </w:p>
        </w:tc>
      </w:tr>
    </w:tbl>
    <w:p>
      <w:pPr>
        <w:spacing w:after="0" w:before="120"/>
      </w:pPr>
    </w:p>
    <w:p>
      <w:pPr>
        <w:spacing w:after="140" w:before="0" w:line="276"/>
        <w:jc w:val="left"/>
      </w:pPr>
      <w:r>
        <w:rPr>
          <w:rFonts w:ascii="Calibri" w:cs="Calibri" w:eastAsia="Calibri" w:hAnsi="Calibri"/>
          <w:b/>
          <w:bCs/>
          <w:i w:val="false"/>
          <w:iCs w:val="false"/>
          <w:color w:val="64748B"/>
          <w:sz w:val="22"/>
          <w:szCs w:val="22"/>
        </w:rPr>
        <w:t xml:space="preserve">Attendees: </w:t>
      </w:r>
      <w:r>
        <w:rPr>
          <w:rFonts w:ascii="Calibri" w:cs="Calibri" w:eastAsia="Calibri" w:hAnsi="Calibri"/>
          <w:b w:val="false"/>
          <w:bCs w:val="false"/>
          <w:i w:val="false"/>
          <w:iCs w:val="false"/>
          <w:color w:val="1E293B"/>
          <w:sz w:val="22"/>
          <w:szCs w:val="22"/>
        </w:rPr>
        <w:t xml:space="preserve">SOM-BI Development Team  •  University Advisor  •  Assist. Phi Chai (University Tech Team / KPI API Provider)</w:t>
      </w:r>
    </w:p>
    <w:p>
      <w:pPr>
        <w:pBdr>
          <w:bottom w:val="single" w:color="028090" w:sz="8" w:space="1"/>
        </w:pBdr>
        <w:spacing w:after="160" w:before="160"/>
      </w:pPr>
    </w:p>
    <w:p>
      <w:pPr>
        <w:spacing w:after="140" w:before="400"/>
      </w:pPr>
      <w:r>
        <w:rPr>
          <w:rFonts w:ascii="Georgia" w:cs="Georgia" w:eastAsia="Georgia" w:hAnsi="Georgia"/>
          <w:b/>
          <w:bCs/>
          <w:color w:val="1E2761"/>
          <w:sz w:val="32"/>
          <w:szCs w:val="32"/>
        </w:rPr>
        <w:t xml:space="preserve">1. Meeting Purpose</w:t>
      </w:r>
    </w:p>
    <w:p>
      <w:pPr>
        <w:spacing w:after="140" w:before="0" w:line="276"/>
        <w:jc w:val="left"/>
      </w:pPr>
      <w:r>
        <w:rPr>
          <w:rFonts w:ascii="Calibri" w:cs="Calibri" w:eastAsia="Calibri" w:hAnsi="Calibri"/>
          <w:b w:val="false"/>
          <w:bCs w:val="false"/>
          <w:i w:val="false"/>
          <w:iCs w:val="false"/>
          <w:color w:val="1E293B"/>
          <w:sz w:val="22"/>
          <w:szCs w:val="22"/>
        </w:rPr>
        <w:t xml:space="preserve">The meeting was arranged to discuss the integration between our SOM-BI system and the university's E-port KPI API, focusing on the following objectives: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Understand the full scope and structure of the E-port KPI API (45 endpoints across 5 evaluation domains)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Request modifications to the KPI API response to include program_id or related program identifiers for lecturer-level filtering</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Clarify data ownership and responsibilities for mapping KPI data to academic programs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Align on the agreed data flow architecture for program-level performance reporting</w:t>
      </w:r>
    </w:p>
    <w:p>
      <w:pPr>
        <w:spacing w:after="140" w:before="400"/>
      </w:pPr>
      <w:r>
        <w:rPr>
          <w:rFonts w:ascii="Georgia" w:cs="Georgia" w:eastAsia="Georgia" w:hAnsi="Georgia"/>
          <w:b/>
          <w:bCs/>
          <w:color w:val="1E2761"/>
          <w:sz w:val="32"/>
          <w:szCs w:val="32"/>
        </w:rPr>
        <w:t xml:space="preserve">2. Background</w:t>
      </w:r>
    </w:p>
    <w:p>
      <w:pPr>
        <w:spacing w:after="140" w:before="0" w:line="276"/>
        <w:jc w:val="left"/>
      </w:pPr>
      <w:r>
        <w:rPr>
          <w:rFonts w:ascii="Calibri" w:cs="Calibri" w:eastAsia="Calibri" w:hAnsi="Calibri"/>
          <w:b w:val="false"/>
          <w:bCs w:val="false"/>
          <w:i w:val="false"/>
          <w:iCs w:val="false"/>
          <w:color w:val="1E293B"/>
          <w:sz w:val="22"/>
          <w:szCs w:val="22"/>
        </w:rPr>
        <w:t xml:space="preserve">SOM-BI is a faculty performance management system that tracks lecturer KPI data across 5 evaluation domains defined by the university. The system retrieves KPI performance data from the MFU E-port API using each lecturer's staff_code as the identifier.</w:t>
      </w:r>
    </w:p>
    <w:p>
      <w:pPr>
        <w:spacing w:after="140" w:before="0" w:line="276"/>
        <w:jc w:val="left"/>
      </w:pPr>
      <w:r>
        <w:rPr>
          <w:rFonts w:ascii="Calibri" w:cs="Calibri" w:eastAsia="Calibri" w:hAnsi="Calibri"/>
          <w:b w:val="false"/>
          <w:bCs w:val="false"/>
          <w:i w:val="false"/>
          <w:iCs w:val="false"/>
          <w:color w:val="1E293B"/>
          <w:sz w:val="22"/>
          <w:szCs w:val="22"/>
        </w:rPr>
        <w:t xml:space="preserve">Currently, the E-port API returns KPI scores per individual lecturer but does not include any program or faculty identifier in the response. This means when we want to view or aggregate KPI performance at the program level (e.g., all lecturers in the Accounting program), we cannot determine which program a lecturer belongs to solely from the API response.</w:t>
      </w:r>
    </w:p>
    <w:p>
      <w:pPr>
        <w:spacing w:after="140" w:before="0" w:line="276"/>
        <w:jc w:val="left"/>
      </w:pPr>
      <w:r>
        <w:rPr>
          <w:rFonts w:ascii="Calibri" w:cs="Calibri" w:eastAsia="Calibri" w:hAnsi="Calibri"/>
          <w:b w:val="false"/>
          <w:bCs w:val="false"/>
          <w:i w:val="false"/>
          <w:iCs w:val="false"/>
          <w:color w:val="1E293B"/>
          <w:sz w:val="22"/>
          <w:szCs w:val="22"/>
        </w:rPr>
        <w:t xml:space="preserve">To enable program-level KPI reporting for the Dean and Admin dashboards, we need a way to associate each lecturer's KPI data with their academic program.</w:t>
      </w:r>
    </w:p>
    <w:p>
      <w:pPr>
        <w:spacing w:after="140" w:before="400"/>
      </w:pPr>
      <w:r>
        <w:rPr>
          <w:rFonts w:ascii="Georgia" w:cs="Georgia" w:eastAsia="Georgia" w:hAnsi="Georgia"/>
          <w:b/>
          <w:bCs/>
          <w:color w:val="1E2761"/>
          <w:sz w:val="32"/>
          <w:szCs w:val="32"/>
        </w:rPr>
        <w:t xml:space="preserve">3. Key Discussion &amp; Outcomes</w:t>
      </w:r>
    </w:p>
    <w:p>
      <w:pPr>
        <w:spacing w:after="100" w:before="300"/>
      </w:pPr>
      <w:r>
        <w:rPr>
          <w:rFonts w:ascii="Calibri" w:cs="Calibri" w:eastAsia="Calibri" w:hAnsi="Calibri"/>
          <w:b/>
          <w:bCs/>
          <w:color w:val="028090"/>
          <w:sz w:val="26"/>
          <w:szCs w:val="26"/>
        </w:rPr>
        <w:t xml:space="preserve">3.1 Our Request</w:t>
      </w:r>
    </w:p>
    <w:p>
      <w:pPr>
        <w:spacing w:after="140" w:before="0" w:line="276"/>
        <w:jc w:val="left"/>
      </w:pPr>
      <w:r>
        <w:rPr>
          <w:rFonts w:ascii="Calibri" w:cs="Calibri" w:eastAsia="Calibri" w:hAnsi="Calibri"/>
          <w:b w:val="false"/>
          <w:bCs w:val="false"/>
          <w:i w:val="false"/>
          <w:iCs w:val="false"/>
          <w:color w:val="1E293B"/>
          <w:sz w:val="22"/>
          <w:szCs w:val="22"/>
        </w:rPr>
        <w:t xml:space="preserve">We requested the university Tech team to modify the E-port KPI API response to include program_id, program_code, or any faculty/program identifier alongside the existing KPI data. This would allow us to:</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Filter lecturers by program directly from the API response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Calculate program-level KPI averages without maintaining a separate mapping table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Reduce dependency on our local database for program association</w:t>
      </w:r>
    </w:p>
    <w:p>
      <w:pPr>
        <w:spacing w:after="100" w:before="300"/>
      </w:pPr>
      <w:r>
        <w:rPr>
          <w:rFonts w:ascii="Calibri" w:cs="Calibri" w:eastAsia="Calibri" w:hAnsi="Calibri"/>
          <w:b/>
          <w:bCs/>
          <w:color w:val="028090"/>
          <w:sz w:val="26"/>
          <w:szCs w:val="26"/>
        </w:rPr>
        <w:t xml:space="preserve">3.2 Response from University Tech Team</w:t>
      </w:r>
    </w:p>
    <w:p>
      <w:pPr>
        <w:spacing w:after="0" w:before="60"/>
      </w:pPr>
    </w:p>
    <w:p>
      <w:pPr>
        <w:spacing w:after="140" w:before="0" w:line="276"/>
        <w:jc w:val="left"/>
      </w:pPr>
      <w:r>
        <w:rPr>
          <w:rFonts w:ascii="Calibri" w:cs="Calibri" w:eastAsia="Calibri" w:hAnsi="Calibri"/>
          <w:b/>
          <w:bCs/>
          <w:i w:val="false"/>
          <w:iCs w:val="false"/>
          <w:color w:val="1E293B"/>
          <w:sz w:val="22"/>
          <w:szCs w:val="22"/>
        </w:rPr>
        <w:t xml:space="preserve">Assist. Phi Chai (University Tech Team) confirmed: </w:t>
      </w:r>
      <w:r>
        <w:rPr>
          <w:rFonts w:ascii="Calibri" w:cs="Calibri" w:eastAsia="Calibri" w:hAnsi="Calibri"/>
          <w:b/>
          <w:bCs/>
          <w:i w:val="false"/>
          <w:iCs w:val="false"/>
          <w:color w:val="DC2626"/>
          <w:sz w:val="22"/>
          <w:szCs w:val="22"/>
        </w:rPr>
        <w:t xml:space="preserve">The original E-port KPI API response structure cannot be modified.</w:t>
      </w:r>
    </w:p>
    <w:p>
      <w:pPr>
        <w:spacing w:after="0" w:before="60"/>
      </w:pPr>
    </w:p>
    <w:p>
      <w:pPr>
        <w:spacing w:after="140" w:before="0" w:line="276"/>
        <w:jc w:val="left"/>
      </w:pPr>
      <w:r>
        <w:rPr>
          <w:rFonts w:ascii="Calibri" w:cs="Calibri" w:eastAsia="Calibri" w:hAnsi="Calibri"/>
          <w:b w:val="false"/>
          <w:bCs w:val="false"/>
          <w:i w:val="false"/>
          <w:iCs w:val="false"/>
          <w:color w:val="1E293B"/>
          <w:sz w:val="22"/>
          <w:szCs w:val="22"/>
        </w:rPr>
        <w:t xml:space="preserve">The reasons given were: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The E-port API is a centralized university-wide system managed by the IT division, not the School of Management</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The KPI API endpoints and response schemas are governed by the original KPI documentation and are shared across all faculties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The university Tech team does not have authority or access to modify the original API response structure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Adding custom fields (such as program_id) would require changes to the core E-port system, which must go through the university's IT governance process — outside the scope of our project</w:t>
      </w:r>
    </w:p>
    <w:p>
      <w:pPr>
        <w:spacing w:after="100" w:before="300"/>
      </w:pPr>
      <w:r>
        <w:rPr>
          <w:rFonts w:ascii="Calibri" w:cs="Calibri" w:eastAsia="Calibri" w:hAnsi="Calibri"/>
          <w:b/>
          <w:bCs/>
          <w:color w:val="028090"/>
          <w:sz w:val="26"/>
          <w:szCs w:val="26"/>
        </w:rPr>
        <w:t xml:space="preserve">3.3 Agreed Solution</w:t>
      </w:r>
    </w:p>
    <w:p>
      <w:pPr>
        <w:spacing w:after="140" w:before="0" w:line="276"/>
        <w:jc w:val="left"/>
      </w:pPr>
      <w:r>
        <w:rPr>
          <w:rFonts w:ascii="Calibri" w:cs="Calibri" w:eastAsia="Calibri" w:hAnsi="Calibri"/>
          <w:b w:val="false"/>
          <w:bCs w:val="false"/>
          <w:i w:val="false"/>
          <w:iCs w:val="false"/>
          <w:color w:val="1E293B"/>
          <w:sz w:val="22"/>
          <w:szCs w:val="22"/>
        </w:rPr>
        <w:t xml:space="preserve">Since the API cannot be modified, both parties agreed that the SOM-BI team is responsible for managing the mapping between KPI data and programs locally. The agreed approach consists of four steps:</w:t>
      </w:r>
    </w:p>
    <w:p>
      <w:pPr>
        <w:spacing w:after="0" w:before="60"/>
      </w:pPr>
    </w:p>
    <w:p>
      <w:pPr>
        <w:spacing w:after="100" w:before="0" w:line="276"/>
        <w:ind w:left="431"/>
        <w:jc w:val="left"/>
      </w:pPr>
      <w:r>
        <w:rPr>
          <w:rFonts w:ascii="Calibri" w:cs="Calibri" w:eastAsia="Calibri" w:hAnsi="Calibri"/>
          <w:b/>
          <w:bCs/>
          <w:i w:val="false"/>
          <w:iCs w:val="false"/>
          <w:color w:val="028090"/>
          <w:sz w:val="22"/>
          <w:szCs w:val="22"/>
        </w:rPr>
        <w:t xml:space="preserve">Step 1: </w:t>
      </w:r>
      <w:r>
        <w:rPr>
          <w:rFonts w:ascii="Calibri" w:cs="Calibri" w:eastAsia="Calibri" w:hAnsi="Calibri"/>
          <w:b w:val="false"/>
          <w:bCs w:val="false"/>
          <w:i w:val="false"/>
          <w:iCs w:val="false"/>
          <w:color w:val="1E293B"/>
          <w:sz w:val="22"/>
          <w:szCs w:val="22"/>
        </w:rPr>
        <w:t xml:space="preserve">Fetch KPI data using staff_code from the E-port API — this is the only available identifier in the API.</w:t>
      </w:r>
    </w:p>
    <w:p>
      <w:pPr>
        <w:spacing w:after="100" w:before="0" w:line="276"/>
        <w:ind w:left="431"/>
        <w:jc w:val="left"/>
      </w:pPr>
      <w:r>
        <w:rPr>
          <w:rFonts w:ascii="Calibri" w:cs="Calibri" w:eastAsia="Calibri" w:hAnsi="Calibri"/>
          <w:b/>
          <w:bCs/>
          <w:i w:val="false"/>
          <w:iCs w:val="false"/>
          <w:color w:val="028090"/>
          <w:sz w:val="22"/>
          <w:szCs w:val="22"/>
        </w:rPr>
        <w:t xml:space="preserve">Step 2: </w:t>
      </w:r>
      <w:r>
        <w:rPr>
          <w:rFonts w:ascii="Calibri" w:cs="Calibri" w:eastAsia="Calibri" w:hAnsi="Calibri"/>
          <w:b w:val="false"/>
          <w:bCs w:val="false"/>
          <w:i w:val="false"/>
          <w:iCs w:val="false"/>
          <w:color w:val="1E293B"/>
          <w:sz w:val="22"/>
          <w:szCs w:val="22"/>
        </w:rPr>
        <w:t xml:space="preserve">Look up the staff_code in our local lecturer_profiles database table, which contains each lecturer's profile information.</w:t>
      </w:r>
    </w:p>
    <w:p>
      <w:pPr>
        <w:spacing w:after="100" w:before="0" w:line="276"/>
        <w:ind w:left="431"/>
        <w:jc w:val="left"/>
      </w:pPr>
      <w:r>
        <w:rPr>
          <w:rFonts w:ascii="Calibri" w:cs="Calibri" w:eastAsia="Calibri" w:hAnsi="Calibri"/>
          <w:b/>
          <w:bCs/>
          <w:i w:val="false"/>
          <w:iCs w:val="false"/>
          <w:color w:val="028090"/>
          <w:sz w:val="22"/>
          <w:szCs w:val="22"/>
        </w:rPr>
        <w:t xml:space="preserve">Step 3: </w:t>
      </w:r>
      <w:r>
        <w:rPr>
          <w:rFonts w:ascii="Calibri" w:cs="Calibri" w:eastAsia="Calibri" w:hAnsi="Calibri"/>
          <w:b w:val="false"/>
          <w:bCs w:val="false"/>
          <w:i w:val="false"/>
          <w:iCs w:val="false"/>
          <w:color w:val="1E293B"/>
          <w:sz w:val="22"/>
          <w:szCs w:val="22"/>
        </w:rPr>
        <w:t xml:space="preserve">Use the program_id foreign key in lecturer_profiles to determine which academic program the lecturer belongs to.</w:t>
      </w:r>
    </w:p>
    <w:p>
      <w:pPr>
        <w:spacing w:after="100" w:before="0" w:line="276"/>
        <w:ind w:left="431"/>
        <w:jc w:val="left"/>
      </w:pPr>
      <w:r>
        <w:rPr>
          <w:rFonts w:ascii="Calibri" w:cs="Calibri" w:eastAsia="Calibri" w:hAnsi="Calibri"/>
          <w:b/>
          <w:bCs/>
          <w:i w:val="false"/>
          <w:iCs w:val="false"/>
          <w:color w:val="028090"/>
          <w:sz w:val="22"/>
          <w:szCs w:val="22"/>
        </w:rPr>
        <w:t xml:space="preserve">Step 4: </w:t>
      </w:r>
      <w:r>
        <w:rPr>
          <w:rFonts w:ascii="Calibri" w:cs="Calibri" w:eastAsia="Calibri" w:hAnsi="Calibri"/>
          <w:b w:val="false"/>
          <w:bCs w:val="false"/>
          <w:i w:val="false"/>
          <w:iCs w:val="false"/>
          <w:color w:val="1E293B"/>
          <w:sz w:val="22"/>
          <w:szCs w:val="22"/>
        </w:rPr>
        <w:t xml:space="preserve">Aggregate KPI scores per program at the application layer to generate program-level dashboards and reports.</w:t>
      </w:r>
    </w:p>
    <w:p>
      <w:pPr>
        <w:spacing w:after="140" w:before="400"/>
      </w:pPr>
      <w:r>
        <w:rPr>
          <w:rFonts w:ascii="Georgia" w:cs="Georgia" w:eastAsia="Georgia" w:hAnsi="Georgia"/>
          <w:b/>
          <w:bCs/>
          <w:color w:val="1E2761"/>
          <w:sz w:val="32"/>
          <w:szCs w:val="32"/>
        </w:rPr>
        <w:t xml:space="preserve">4. Technical Summary</w:t>
      </w:r>
    </w:p>
    <w:p>
      <w:pPr>
        <w:spacing w:after="100" w:before="300"/>
      </w:pPr>
      <w:r>
        <w:rPr>
          <w:rFonts w:ascii="Calibri" w:cs="Calibri" w:eastAsia="Calibri" w:hAnsi="Calibri"/>
          <w:b/>
          <w:bCs/>
          <w:color w:val="028090"/>
          <w:sz w:val="26"/>
          <w:szCs w:val="26"/>
        </w:rPr>
        <w:t xml:space="preserve">4.1 E-port KPI API Overview</w:t>
      </w:r>
    </w:p>
    <w:tbl>
      <w:tblPr>
        <w:tblW w:type="dxa" w:w="8784"/>
        <w:tblBorders>
          <w:top w:val="single" w:color="CBD5E1" w:sz="1"/>
          <w:left w:val="single" w:color="CBD5E1" w:sz="1"/>
          <w:bottom w:val="single" w:color="CBD5E1" w:sz="1"/>
          <w:right w:val="single" w:color="CBD5E1" w:sz="1"/>
          <w:insideH w:val="single" w:color="CBD5E1" w:sz="1"/>
          <w:insideV w:val="single" w:color="CBD5E1" w:sz="1"/>
        </w:tblBorders>
        <w:tblLayout w:type="fixed"/>
      </w:tblPr>
      <w:tblGrid>
        <w:gridCol w:w="100"/>
        <w:gridCol w:w="100"/>
      </w:tblGrid>
      <w:tr>
        <w:tc>
          <w:tcPr>
            <w:tcW w:type="dxa" w:w="2460"/>
            <w:shd w:fill="028090"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Parameter</w:t>
            </w:r>
          </w:p>
        </w:tc>
        <w:tc>
          <w:tcPr>
            <w:tcW w:type="dxa" w:w="6324"/>
            <w:shd w:fill="028090"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Details</w:t>
            </w:r>
          </w:p>
        </w:tc>
      </w:tr>
      <w:tr>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E293B"/>
                <w:sz w:val="20"/>
                <w:szCs w:val="20"/>
              </w:rPr>
              <w:t xml:space="preserve">Base URL</w:t>
            </w:r>
          </w:p>
        </w:tc>
        <w:tc>
          <w:tcPr>
            <w:tcW w:type="dxa" w:w="632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https://eport.mfu.ac.th/api/master</w:t>
            </w:r>
          </w:p>
        </w:tc>
      </w:tr>
      <w:tr>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E293B"/>
                <w:sz w:val="20"/>
                <w:szCs w:val="20"/>
              </w:rPr>
              <w:t xml:space="preserve">Authentication</w:t>
            </w:r>
          </w:p>
        </w:tc>
        <w:tc>
          <w:tcPr>
            <w:tcW w:type="dxa" w:w="632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Bearer Token (via POST /login)</w:t>
            </w:r>
          </w:p>
        </w:tc>
      </w:tr>
      <w:tr>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E293B"/>
                <w:sz w:val="20"/>
                <w:szCs w:val="20"/>
              </w:rPr>
              <w:t xml:space="preserve">Total Endpoints</w:t>
            </w:r>
          </w:p>
        </w:tc>
        <w:tc>
          <w:tcPr>
            <w:tcW w:type="dxa" w:w="632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45 (1 POST login + 44 GET data endpoints)</w:t>
            </w:r>
          </w:p>
        </w:tc>
      </w:tr>
      <w:tr>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E293B"/>
                <w:sz w:val="20"/>
                <w:szCs w:val="20"/>
              </w:rPr>
              <w:t xml:space="preserve">Token Lifetime</w:t>
            </w:r>
          </w:p>
        </w:tc>
        <w:tc>
          <w:tcPr>
            <w:tcW w:type="dxa" w:w="632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~24 hours (cached for 23 hours in our system)</w:t>
            </w:r>
          </w:p>
        </w:tc>
      </w:tr>
      <w:tr>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E293B"/>
                <w:sz w:val="20"/>
                <w:szCs w:val="20"/>
              </w:rPr>
              <w:t xml:space="preserve">Key Parameters</w:t>
            </w:r>
          </w:p>
        </w:tc>
        <w:tc>
          <w:tcPr>
            <w:tcW w:type="dxa" w:w="632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Authorization (Bearer), evaluateid, staffcode, lang (th/en)</w:t>
            </w:r>
          </w:p>
        </w:tc>
      </w:tr>
    </w:tbl>
    <w:p>
      <w:pPr>
        <w:spacing w:after="100" w:before="300"/>
      </w:pPr>
      <w:r>
        <w:rPr>
          <w:rFonts w:ascii="Calibri" w:cs="Calibri" w:eastAsia="Calibri" w:hAnsi="Calibri"/>
          <w:b/>
          <w:bCs/>
          <w:color w:val="028090"/>
          <w:sz w:val="26"/>
          <w:szCs w:val="26"/>
        </w:rPr>
        <w:t xml:space="preserve">4.2 Five KPI Evaluation Domains</w:t>
      </w:r>
    </w:p>
    <w:tbl>
      <w:tblPr>
        <w:tblW w:type="dxa" w:w="8784"/>
        <w:tblBorders>
          <w:top w:val="single" w:color="CBD5E1" w:sz="1"/>
          <w:left w:val="single" w:color="CBD5E1" w:sz="1"/>
          <w:bottom w:val="single" w:color="CBD5E1" w:sz="1"/>
          <w:right w:val="single" w:color="CBD5E1" w:sz="1"/>
          <w:insideH w:val="single" w:color="CBD5E1" w:sz="1"/>
          <w:insideV w:val="single" w:color="CBD5E1" w:sz="1"/>
        </w:tblBorders>
        <w:tblLayout w:type="fixed"/>
      </w:tblPr>
      <w:tblGrid>
        <w:gridCol w:w="100"/>
        <w:gridCol w:w="100"/>
        <w:gridCol w:w="100"/>
        <w:gridCol w:w="100"/>
      </w:tblGrid>
      <w:tr>
        <w:tc>
          <w:tcPr>
            <w:tcW w:type="dxa" w:w="1230"/>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Domain</w:t>
            </w:r>
          </w:p>
        </w:tc>
        <w:tc>
          <w:tcPr>
            <w:tcW w:type="dxa" w:w="2108"/>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Name</w:t>
            </w:r>
          </w:p>
        </w:tc>
        <w:tc>
          <w:tcPr>
            <w:tcW w:type="dxa" w:w="3689"/>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Key Metrics</w:t>
            </w:r>
          </w:p>
        </w:tc>
        <w:tc>
          <w:tcPr>
            <w:tcW w:type="dxa" w:w="1757"/>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Endpoints</w:t>
            </w:r>
          </w:p>
        </w:tc>
      </w:tr>
      <w:tr>
        <w:tc>
          <w:tcPr>
            <w:tcW w:type="dxa" w:w="1230"/>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Domain 1</w:t>
            </w:r>
          </w:p>
        </w:tc>
        <w:tc>
          <w:tcPr>
            <w:tcW w:type="dxa" w:w="210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Teaching Performance</w:t>
            </w:r>
          </w:p>
        </w:tc>
        <w:tc>
          <w:tcPr>
            <w:tcW w:type="dxa" w:w="3689"/>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UG/Grad courses, student projects, thesis oversight, quality of work</w:t>
            </w:r>
          </w:p>
        </w:tc>
        <w:tc>
          <w:tcPr>
            <w:tcW w:type="dxa" w:w="175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9 endpoints</w:t>
            </w:r>
          </w:p>
        </w:tc>
      </w:tr>
      <w:tr>
        <w:tc>
          <w:tcPr>
            <w:tcW w:type="dxa" w:w="1230"/>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Domain 2</w:t>
            </w:r>
          </w:p>
        </w:tc>
        <w:tc>
          <w:tcPr>
            <w:tcW w:type="dxa" w:w="210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Research &amp; Academic Work</w:t>
            </w:r>
          </w:p>
        </w:tc>
        <w:tc>
          <w:tcPr>
            <w:tcW w:type="dxa" w:w="3689"/>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Research studies, publications, textbooks, patents</w:t>
            </w:r>
          </w:p>
        </w:tc>
        <w:tc>
          <w:tcPr>
            <w:tcW w:type="dxa" w:w="175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9 endpoints</w:t>
            </w:r>
          </w:p>
        </w:tc>
      </w:tr>
      <w:tr>
        <w:tc>
          <w:tcPr>
            <w:tcW w:type="dxa" w:w="1230"/>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Domain 3</w:t>
            </w:r>
          </w:p>
        </w:tc>
        <w:tc>
          <w:tcPr>
            <w:tcW w:type="dxa" w:w="210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Academic Services</w:t>
            </w:r>
          </w:p>
        </w:tc>
        <w:tc>
          <w:tcPr>
            <w:tcW w:type="dxa" w:w="3689"/>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Service activities, invited speaker, external committees</w:t>
            </w:r>
          </w:p>
        </w:tc>
        <w:tc>
          <w:tcPr>
            <w:tcW w:type="dxa" w:w="175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7 endpoints</w:t>
            </w:r>
          </w:p>
        </w:tc>
      </w:tr>
      <w:tr>
        <w:tc>
          <w:tcPr>
            <w:tcW w:type="dxa" w:w="1230"/>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Domain 4</w:t>
            </w:r>
          </w:p>
        </w:tc>
        <w:tc>
          <w:tcPr>
            <w:tcW w:type="dxa" w:w="210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Administrative Duties</w:t>
            </w:r>
          </w:p>
        </w:tc>
        <w:tc>
          <w:tcPr>
            <w:tcW w:type="dxa" w:w="3689"/>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Curricular/school committees, course coordination</w:t>
            </w:r>
          </w:p>
        </w:tc>
        <w:tc>
          <w:tcPr>
            <w:tcW w:type="dxa" w:w="175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10 endpoints</w:t>
            </w:r>
          </w:p>
        </w:tc>
      </w:tr>
      <w:tr>
        <w:tc>
          <w:tcPr>
            <w:tcW w:type="dxa" w:w="1230"/>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Domain 5</w:t>
            </w:r>
          </w:p>
        </w:tc>
        <w:tc>
          <w:tcPr>
            <w:tcW w:type="dxa" w:w="210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Self &amp; Org. Development</w:t>
            </w:r>
          </w:p>
        </w:tc>
        <w:tc>
          <w:tcPr>
            <w:tcW w:type="dxa" w:w="3689"/>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Self-development, MFU activities, arts &amp; culture conservation</w:t>
            </w:r>
          </w:p>
        </w:tc>
        <w:tc>
          <w:tcPr>
            <w:tcW w:type="dxa" w:w="175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7 endpoints</w:t>
            </w:r>
          </w:p>
        </w:tc>
      </w:tr>
    </w:tbl>
    <w:p>
      <w:pPr>
        <w:spacing w:after="100" w:before="300"/>
      </w:pPr>
      <w:r>
        <w:rPr>
          <w:rFonts w:ascii="Calibri" w:cs="Calibri" w:eastAsia="Calibri" w:hAnsi="Calibri"/>
          <w:b/>
          <w:bCs/>
          <w:color w:val="028090"/>
          <w:sz w:val="26"/>
          <w:szCs w:val="26"/>
        </w:rPr>
        <w:t xml:space="preserve">4.3 Our Local Database Mapping</w:t>
      </w:r>
    </w:p>
    <w:p>
      <w:pPr>
        <w:spacing w:after="140" w:before="0" w:line="276"/>
        <w:jc w:val="left"/>
      </w:pPr>
      <w:r>
        <w:rPr>
          <w:rFonts w:ascii="Calibri" w:cs="Calibri" w:eastAsia="Calibri" w:hAnsi="Calibri"/>
          <w:b w:val="false"/>
          <w:bCs w:val="false"/>
          <w:i w:val="false"/>
          <w:iCs w:val="false"/>
          <w:color w:val="1E293B"/>
          <w:sz w:val="22"/>
          <w:szCs w:val="22"/>
        </w:rPr>
        <w:t xml:space="preserve">To link KPI data with programs, we maintain the following tables in our MySQL database:</w:t>
      </w:r>
    </w:p>
    <w:p>
      <w:pPr>
        <w:spacing w:after="100" w:before="0" w:line="276"/>
        <w:jc w:val="left"/>
      </w:pPr>
      <w:r>
        <w:rPr>
          <w:rFonts w:ascii="Calibri" w:cs="Calibri" w:eastAsia="Calibri" w:hAnsi="Calibri"/>
          <w:b/>
          <w:bCs/>
          <w:i w:val="false"/>
          <w:iCs w:val="false"/>
          <w:color w:val="028090"/>
          <w:sz w:val="22"/>
          <w:szCs w:val="22"/>
        </w:rPr>
        <w:t xml:space="preserve">lecturer_profiles table</w:t>
      </w:r>
      <w:r>
        <w:rPr>
          <w:rFonts w:ascii="Calibri" w:cs="Calibri" w:eastAsia="Calibri" w:hAnsi="Calibri"/>
          <w:b w:val="false"/>
          <w:bCs w:val="false"/>
          <w:i w:val="false"/>
          <w:iCs w:val="false"/>
          <w:color w:val="1E293B"/>
          <w:sz w:val="22"/>
          <w:szCs w:val="22"/>
        </w:rPr>
        <w:t xml:space="preserve"> — 59 records, each containing staff_code (PK), staff_name, email, program_id (FK to programs), and position.</w:t>
      </w:r>
    </w:p>
    <w:p>
      <w:pPr>
        <w:spacing w:after="100" w:before="0" w:line="276"/>
        <w:jc w:val="left"/>
      </w:pPr>
      <w:r>
        <w:rPr>
          <w:rFonts w:ascii="Calibri" w:cs="Calibri" w:eastAsia="Calibri" w:hAnsi="Calibri"/>
          <w:b/>
          <w:bCs/>
          <w:i w:val="false"/>
          <w:iCs w:val="false"/>
          <w:color w:val="028090"/>
          <w:sz w:val="22"/>
          <w:szCs w:val="22"/>
        </w:rPr>
        <w:t xml:space="preserve">programs table</w:t>
      </w:r>
      <w:r>
        <w:rPr>
          <w:rFonts w:ascii="Calibri" w:cs="Calibri" w:eastAsia="Calibri" w:hAnsi="Calibri"/>
          <w:b w:val="false"/>
          <w:bCs w:val="false"/>
          <w:i w:val="false"/>
          <w:iCs w:val="false"/>
          <w:color w:val="1E293B"/>
          <w:sz w:val="22"/>
          <w:szCs w:val="22"/>
        </w:rPr>
        <w:t xml:space="preserve"> — 8 academic programs: Accounting (ACC), Business Administration (BA), Economics (ECO), Tourism Management (TRM), Aviation Management (AVI), Hospitality Management (HRM), Logistics Management (LOG), and Dean Office (DEAN).</w:t>
      </w:r>
    </w:p>
    <w:p>
      <w:pPr>
        <w:spacing w:after="140" w:before="0" w:line="276"/>
        <w:jc w:val="left"/>
      </w:pPr>
      <w:r>
        <w:rPr>
          <w:rFonts w:ascii="Calibri" w:cs="Calibri" w:eastAsia="Calibri" w:hAnsi="Calibri"/>
          <w:b w:val="false"/>
          <w:bCs w:val="false"/>
          <w:i w:val="false"/>
          <w:iCs w:val="false"/>
          <w:color w:val="1E293B"/>
          <w:sz w:val="22"/>
          <w:szCs w:val="22"/>
        </w:rPr>
        <w:t xml:space="preserve">The foreign key </w:t>
      </w:r>
      <w:r>
        <w:rPr>
          <w:rFonts w:ascii="Calibri" w:cs="Calibri" w:eastAsia="Calibri" w:hAnsi="Calibri"/>
          <w:b/>
          <w:bCs/>
          <w:i w:val="false"/>
          <w:iCs w:val="false"/>
          <w:color w:val="028090"/>
          <w:sz w:val="22"/>
          <w:szCs w:val="22"/>
        </w:rPr>
        <w:t xml:space="preserve">lecturer_profiles.program_id → programs.program_id</w:t>
      </w:r>
      <w:r>
        <w:rPr>
          <w:rFonts w:ascii="Calibri" w:cs="Calibri" w:eastAsia="Calibri" w:hAnsi="Calibri"/>
          <w:b w:val="false"/>
          <w:bCs w:val="false"/>
          <w:i w:val="false"/>
          <w:iCs w:val="false"/>
          <w:color w:val="1E293B"/>
          <w:sz w:val="22"/>
          <w:szCs w:val="22"/>
        </w:rPr>
        <w:t xml:space="preserve"> enables us to map any E-port KPI data to a specific academic program through the shared staff_code identifier.</w:t>
      </w:r>
    </w:p>
    <w:p>
      <w:pPr>
        <w:spacing w:after="140" w:before="400"/>
      </w:pPr>
      <w:r>
        <w:rPr>
          <w:rFonts w:ascii="Georgia" w:cs="Georgia" w:eastAsia="Georgia" w:hAnsi="Georgia"/>
          <w:b/>
          <w:bCs/>
          <w:color w:val="1E2761"/>
          <w:sz w:val="32"/>
          <w:szCs w:val="32"/>
        </w:rPr>
        <w:t xml:space="preserve">5. Agreed Data Flow</w:t>
      </w:r>
    </w:p>
    <w:p>
      <w:pPr>
        <w:spacing w:after="140" w:before="0" w:line="276"/>
        <w:jc w:val="left"/>
      </w:pPr>
      <w:r>
        <w:rPr>
          <w:rFonts w:ascii="Calibri" w:cs="Calibri" w:eastAsia="Calibri" w:hAnsi="Calibri"/>
          <w:b w:val="false"/>
          <w:bCs w:val="false"/>
          <w:i w:val="false"/>
          <w:iCs w:val="false"/>
          <w:color w:val="1E293B"/>
          <w:sz w:val="22"/>
          <w:szCs w:val="22"/>
        </w:rPr>
        <w:t xml:space="preserve">The following data flow was agreed upon during the meeting for how KPI data moves from the external API to our program-level dashboards:</w:t>
      </w:r>
    </w:p>
    <w:p>
      <w:pPr>
        <w:spacing w:after="0" w:before="60"/>
      </w:pPr>
    </w:p>
    <w:p>
      <w:pPr>
        <w:spacing w:after="120" w:before="0" w:line="276"/>
        <w:jc w:val="left"/>
      </w:pPr>
      <w:r>
        <w:rPr>
          <w:rFonts w:ascii="Calibri" w:cs="Calibri" w:eastAsia="Calibri" w:hAnsi="Calibri"/>
          <w:b/>
          <w:bCs/>
          <w:i w:val="false"/>
          <w:iCs w:val="false"/>
          <w:color w:val="DC2626"/>
          <w:sz w:val="22"/>
          <w:szCs w:val="22"/>
        </w:rPr>
        <w:t xml:space="preserve">Layer 1 — External API: </w:t>
      </w:r>
      <w:r>
        <w:rPr>
          <w:rFonts w:ascii="Calibri" w:cs="Calibri" w:eastAsia="Calibri" w:hAnsi="Calibri"/>
          <w:b w:val="false"/>
          <w:bCs w:val="false"/>
          <w:i w:val="false"/>
          <w:iCs w:val="false"/>
          <w:color w:val="1E293B"/>
          <w:sz w:val="22"/>
          <w:szCs w:val="22"/>
        </w:rPr>
        <w:t xml:space="preserve">MFU E-port API provides raw KPI data per individual staff_code. We call 45 endpoints with Bearer token authentication. The API returns domain scores, weights, thresholds, and total KPI percentage.</w:t>
      </w:r>
    </w:p>
    <w:p>
      <w:pPr>
        <w:spacing w:after="120" w:before="0" w:line="276"/>
        <w:jc w:val="left"/>
      </w:pPr>
      <w:r>
        <w:rPr>
          <w:rFonts w:ascii="Calibri" w:cs="Calibri" w:eastAsia="Calibri" w:hAnsi="Calibri"/>
          <w:b/>
          <w:bCs/>
          <w:i w:val="false"/>
          <w:iCs w:val="false"/>
          <w:color w:val="1E2761"/>
          <w:sz w:val="22"/>
          <w:szCs w:val="22"/>
        </w:rPr>
        <w:t xml:space="preserve">Layer 2 — Our Backend Proxy: </w:t>
      </w:r>
      <w:r>
        <w:rPr>
          <w:rFonts w:ascii="Calibri" w:cs="Calibri" w:eastAsia="Calibri" w:hAnsi="Calibri"/>
          <w:b w:val="false"/>
          <w:bCs w:val="false"/>
          <w:i w:val="false"/>
          <w:iCs w:val="false"/>
          <w:color w:val="1E293B"/>
          <w:sz w:val="22"/>
          <w:szCs w:val="22"/>
        </w:rPr>
        <w:t xml:space="preserve">SOM-BI Express.js backend acts as a proxy layer to hide API credentials from the frontend. It authenticates with E-port, fetches data, and forwards results to our frontend application.</w:t>
      </w:r>
    </w:p>
    <w:p>
      <w:pPr>
        <w:spacing w:after="120" w:before="0" w:line="276"/>
        <w:jc w:val="left"/>
      </w:pPr>
      <w:r>
        <w:rPr>
          <w:rFonts w:ascii="Calibri" w:cs="Calibri" w:eastAsia="Calibri" w:hAnsi="Calibri"/>
          <w:b/>
          <w:bCs/>
          <w:i w:val="false"/>
          <w:iCs w:val="false"/>
          <w:color w:val="028090"/>
          <w:sz w:val="22"/>
          <w:szCs w:val="22"/>
        </w:rPr>
        <w:t xml:space="preserve">Layer 3 — Local Database: </w:t>
      </w:r>
      <w:r>
        <w:rPr>
          <w:rFonts w:ascii="Calibri" w:cs="Calibri" w:eastAsia="Calibri" w:hAnsi="Calibri"/>
          <w:b w:val="false"/>
          <w:bCs w:val="false"/>
          <w:i w:val="false"/>
          <w:iCs w:val="false"/>
          <w:color w:val="1E293B"/>
          <w:sz w:val="22"/>
          <w:szCs w:val="22"/>
        </w:rPr>
        <w:t xml:space="preserve">Our MySQL database stores lecturer_profiles (with staff_code and program_id) and programs tables. When KPI data arrives, we match staff_code to find the lecturer's program.</w:t>
      </w:r>
    </w:p>
    <w:p>
      <w:pPr>
        <w:spacing w:after="140" w:before="0" w:line="276"/>
        <w:jc w:val="left"/>
      </w:pPr>
      <w:r>
        <w:rPr>
          <w:rFonts w:ascii="Calibri" w:cs="Calibri" w:eastAsia="Calibri" w:hAnsi="Calibri"/>
          <w:b/>
          <w:bCs/>
          <w:i w:val="false"/>
          <w:iCs w:val="false"/>
          <w:color w:val="16A34A"/>
          <w:sz w:val="22"/>
          <w:szCs w:val="22"/>
        </w:rPr>
        <w:t xml:space="preserve">Layer 4 — Application Layer: </w:t>
      </w:r>
      <w:r>
        <w:rPr>
          <w:rFonts w:ascii="Calibri" w:cs="Calibri" w:eastAsia="Calibri" w:hAnsi="Calibri"/>
          <w:b w:val="false"/>
          <w:bCs w:val="false"/>
          <w:i w:val="false"/>
          <w:iCs w:val="false"/>
          <w:color w:val="1E293B"/>
          <w:sz w:val="22"/>
          <w:szCs w:val="22"/>
        </w:rPr>
        <w:t xml:space="preserve">The Nuxt 3 frontend aggregates KPI scores per program, calculates averages, and renders dashboards for Admin, Dean, and Lecturer roles.</w:t>
      </w:r>
    </w:p>
    <w:p>
      <w:pPr>
        <w:spacing w:after="140" w:before="400"/>
      </w:pPr>
      <w:r>
        <w:rPr>
          <w:rFonts w:ascii="Georgia" w:cs="Georgia" w:eastAsia="Georgia" w:hAnsi="Georgia"/>
          <w:b/>
          <w:bCs/>
          <w:color w:val="1E2761"/>
          <w:sz w:val="32"/>
          <w:szCs w:val="32"/>
        </w:rPr>
        <w:t xml:space="preserve">6. Action Items</w:t>
      </w:r>
    </w:p>
    <w:p>
      <w:pPr>
        <w:spacing w:after="140" w:before="0" w:line="276"/>
        <w:jc w:val="left"/>
      </w:pPr>
      <w:r>
        <w:rPr>
          <w:rFonts w:ascii="Calibri" w:cs="Calibri" w:eastAsia="Calibri" w:hAnsi="Calibri"/>
          <w:b w:val="false"/>
          <w:bCs w:val="false"/>
          <w:i w:val="false"/>
          <w:iCs w:val="false"/>
          <w:color w:val="1E293B"/>
          <w:sz w:val="22"/>
          <w:szCs w:val="22"/>
        </w:rPr>
        <w:t xml:space="preserve">The following action items were identified during the meeting:</w:t>
      </w:r>
    </w:p>
    <w:p>
      <w:pPr>
        <w:spacing w:after="0" w:before="60"/>
      </w:pPr>
    </w:p>
    <w:tbl>
      <w:tblPr>
        <w:tblW w:type="dxa" w:w="8784"/>
        <w:tblBorders>
          <w:top w:val="single" w:color="CBD5E1" w:sz="1"/>
          <w:left w:val="single" w:color="CBD5E1" w:sz="1"/>
          <w:bottom w:val="single" w:color="CBD5E1" w:sz="1"/>
          <w:right w:val="single" w:color="CBD5E1" w:sz="1"/>
          <w:insideH w:val="single" w:color="CBD5E1" w:sz="1"/>
          <w:insideV w:val="single" w:color="CBD5E1" w:sz="1"/>
        </w:tblBorders>
        <w:tblLayout w:type="fixed"/>
      </w:tblPr>
      <w:tblGrid>
        <w:gridCol w:w="100"/>
        <w:gridCol w:w="100"/>
        <w:gridCol w:w="100"/>
        <w:gridCol w:w="100"/>
      </w:tblGrid>
      <w:tr>
        <w:tc>
          <w:tcPr>
            <w:tcW w:type="dxa" w:w="527"/>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w:t>
            </w:r>
          </w:p>
        </w:tc>
        <w:tc>
          <w:tcPr>
            <w:tcW w:type="dxa" w:w="4216"/>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Action Item</w:t>
            </w:r>
          </w:p>
        </w:tc>
        <w:tc>
          <w:tcPr>
            <w:tcW w:type="dxa" w:w="1581"/>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Owner</w:t>
            </w:r>
          </w:p>
        </w:tc>
        <w:tc>
          <w:tcPr>
            <w:tcW w:type="dxa" w:w="2460"/>
            <w:shd w:fill="1E2761"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Status</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1</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Maintain local lecturer to program mapping table</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Completed</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2</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Build backend proxy for E-port API (hide credentials)</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Completed</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3</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Implement per-lecturer KPI data fetching via staff_code</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Completed</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4</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Build program-level KPI aggregation logic</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D97706"/>
                <w:sz w:val="20"/>
                <w:szCs w:val="20"/>
              </w:rPr>
              <w:t xml:space="preserve">In Progress</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5</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Verify all 59 lecturers have correct program_id assigned</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Completed</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6</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Implement server-side KPI data caching</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DC2626"/>
                <w:sz w:val="20"/>
                <w:szCs w:val="20"/>
              </w:rPr>
              <w:t xml:space="preserve">Not Started</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7</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Build Dean dashboard with live program KPI data</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Dev Team</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D97706"/>
                <w:sz w:val="20"/>
                <w:szCs w:val="20"/>
              </w:rPr>
              <w:t xml:space="preserve">In Progress</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8</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Maintain lecturer database when staff changes occur</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Admin</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028090"/>
                <w:sz w:val="20"/>
                <w:szCs w:val="20"/>
              </w:rPr>
              <w:t xml:space="preserve">Ongoing</w:t>
            </w:r>
          </w:p>
        </w:tc>
      </w:tr>
      <w:tr>
        <w:tc>
          <w:tcPr>
            <w:tcW w:type="dxa" w:w="527"/>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9</w:t>
            </w:r>
          </w:p>
        </w:tc>
        <w:tc>
          <w:tcPr>
            <w:tcW w:type="dxa" w:w="4216"/>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Request data dictionary documentation from Tech team</w:t>
            </w:r>
          </w:p>
        </w:tc>
        <w:tc>
          <w:tcPr>
            <w:tcW w:type="dxa" w:w="1581"/>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Phi Chai</w:t>
            </w:r>
          </w:p>
        </w:tc>
        <w:tc>
          <w:tcPr>
            <w:tcW w:type="dxa" w:w="2460"/>
            <w:tcMar>
              <w:top w:type="dxa" w:w="43"/>
              <w:left w:type="dxa" w:w="115"/>
              <w:bottom w:type="dxa" w:w="43"/>
              <w:right w:type="dxa" w:w="115"/>
            </w:tcMar>
          </w:tcPr>
          <w:p>
            <w:pPr>
              <w:spacing w:after="50" w:before="50"/>
              <w:jc w:val="left"/>
            </w:pPr>
            <w:r>
              <w:rPr>
                <w:rFonts w:ascii="Calibri" w:cs="Calibri" w:eastAsia="Calibri" w:hAnsi="Calibri"/>
                <w:b/>
                <w:bCs/>
                <w:color w:val="64748B"/>
                <w:sz w:val="20"/>
                <w:szCs w:val="20"/>
              </w:rPr>
              <w:t xml:space="preserve">Pending</w:t>
            </w:r>
          </w:p>
        </w:tc>
      </w:tr>
    </w:tbl>
    <w:p>
      <w:pPr>
        <w:spacing w:after="140" w:before="400"/>
      </w:pPr>
      <w:r>
        <w:rPr>
          <w:rFonts w:ascii="Georgia" w:cs="Georgia" w:eastAsia="Georgia" w:hAnsi="Georgia"/>
          <w:b/>
          <w:bCs/>
          <w:color w:val="1E2761"/>
          <w:sz w:val="32"/>
          <w:szCs w:val="32"/>
        </w:rPr>
        <w:t xml:space="preserve">7. Identified Challenges &amp; Mitigations</w:t>
      </w:r>
    </w:p>
    <w:p>
      <w:pPr>
        <w:spacing w:after="80" w:before="240"/>
      </w:pPr>
      <w:r>
        <w:rPr>
          <w:rFonts w:ascii="Calibri" w:cs="Calibri" w:eastAsia="Calibri" w:hAnsi="Calibri"/>
          <w:b/>
          <w:bCs/>
          <w:color w:val="1E293B"/>
          <w:sz w:val="24"/>
          <w:szCs w:val="24"/>
        </w:rPr>
        <w:t xml:space="preserve">7.1 No Bulk API Endpoint</w:t>
      </w:r>
    </w:p>
    <w:p>
      <w:pPr>
        <w:spacing w:after="140" w:before="0" w:line="276"/>
        <w:jc w:val="left"/>
      </w:pPr>
      <w:r>
        <w:rPr>
          <w:rFonts w:ascii="Calibri" w:cs="Calibri" w:eastAsia="Calibri" w:hAnsi="Calibri"/>
          <w:b/>
          <w:bCs/>
          <w:i w:val="false"/>
          <w:iCs w:val="false"/>
          <w:color w:val="DC2626"/>
          <w:sz w:val="22"/>
          <w:szCs w:val="22"/>
        </w:rPr>
        <w:t xml:space="preserve">Challenge: </w:t>
      </w:r>
      <w:r>
        <w:rPr>
          <w:rFonts w:ascii="Calibri" w:cs="Calibri" w:eastAsia="Calibri" w:hAnsi="Calibri"/>
          <w:b w:val="false"/>
          <w:bCs w:val="false"/>
          <w:i w:val="false"/>
          <w:iCs w:val="false"/>
          <w:color w:val="1E293B"/>
          <w:sz w:val="22"/>
          <w:szCs w:val="22"/>
        </w:rPr>
        <w:t xml:space="preserve">The E-port API does not provide a bulk endpoint for fetching KPI data for multiple lecturers at once. We must call the API individually for each of the 59 lecturers, resulting in approximately 6 batches of 10 concurrent calls.</w:t>
      </w:r>
    </w:p>
    <w:p>
      <w:pPr>
        <w:spacing w:after="140" w:before="0" w:line="276"/>
        <w:jc w:val="left"/>
      </w:pPr>
      <w:r>
        <w:rPr>
          <w:rFonts w:ascii="Calibri" w:cs="Calibri" w:eastAsia="Calibri" w:hAnsi="Calibri"/>
          <w:b/>
          <w:bCs/>
          <w:i w:val="false"/>
          <w:iCs w:val="false"/>
          <w:color w:val="16A34A"/>
          <w:sz w:val="22"/>
          <w:szCs w:val="22"/>
        </w:rPr>
        <w:t xml:space="preserve">Mitigation: </w:t>
      </w:r>
      <w:r>
        <w:rPr>
          <w:rFonts w:ascii="Calibri" w:cs="Calibri" w:eastAsia="Calibri" w:hAnsi="Calibri"/>
          <w:b w:val="false"/>
          <w:bCs w:val="false"/>
          <w:i w:val="false"/>
          <w:iCs w:val="false"/>
          <w:color w:val="1E293B"/>
          <w:sz w:val="22"/>
          <w:szCs w:val="22"/>
        </w:rPr>
        <w:t xml:space="preserve">We have implemented client-side caching to avoid repeated API calls. Server-side caching (Redis or file-based) is planned to further reduce API load.</w:t>
      </w:r>
    </w:p>
    <w:p>
      <w:pPr>
        <w:spacing w:after="80" w:before="240"/>
      </w:pPr>
      <w:r>
        <w:rPr>
          <w:rFonts w:ascii="Calibri" w:cs="Calibri" w:eastAsia="Calibri" w:hAnsi="Calibri"/>
          <w:b/>
          <w:bCs/>
          <w:color w:val="1E293B"/>
          <w:sz w:val="24"/>
          <w:szCs w:val="24"/>
        </w:rPr>
        <w:t xml:space="preserve">7.2 No Program Identifier in API Response</w:t>
      </w:r>
    </w:p>
    <w:p>
      <w:pPr>
        <w:spacing w:after="140" w:before="0" w:line="276"/>
        <w:jc w:val="left"/>
      </w:pPr>
      <w:r>
        <w:rPr>
          <w:rFonts w:ascii="Calibri" w:cs="Calibri" w:eastAsia="Calibri" w:hAnsi="Calibri"/>
          <w:b/>
          <w:bCs/>
          <w:i w:val="false"/>
          <w:iCs w:val="false"/>
          <w:color w:val="DC2626"/>
          <w:sz w:val="22"/>
          <w:szCs w:val="22"/>
        </w:rPr>
        <w:t xml:space="preserve">Challenge: </w:t>
      </w:r>
      <w:r>
        <w:rPr>
          <w:rFonts w:ascii="Calibri" w:cs="Calibri" w:eastAsia="Calibri" w:hAnsi="Calibri"/>
          <w:b w:val="false"/>
          <w:bCs w:val="false"/>
          <w:i w:val="false"/>
          <w:iCs w:val="false"/>
          <w:color w:val="1E293B"/>
          <w:sz w:val="22"/>
          <w:szCs w:val="22"/>
        </w:rPr>
        <w:t xml:space="preserve">The core limitation — the API response does not include program or faculty identifiers, requiring a separate local database mapping that must be kept up to date.</w:t>
      </w:r>
    </w:p>
    <w:p>
      <w:pPr>
        <w:spacing w:after="140" w:before="0" w:line="276"/>
        <w:jc w:val="left"/>
      </w:pPr>
      <w:r>
        <w:rPr>
          <w:rFonts w:ascii="Calibri" w:cs="Calibri" w:eastAsia="Calibri" w:hAnsi="Calibri"/>
          <w:b/>
          <w:bCs/>
          <w:i w:val="false"/>
          <w:iCs w:val="false"/>
          <w:color w:val="16A34A"/>
          <w:sz w:val="22"/>
          <w:szCs w:val="22"/>
        </w:rPr>
        <w:t xml:space="preserve">Mitigation: </w:t>
      </w:r>
      <w:r>
        <w:rPr>
          <w:rFonts w:ascii="Calibri" w:cs="Calibri" w:eastAsia="Calibri" w:hAnsi="Calibri"/>
          <w:b w:val="false"/>
          <w:bCs w:val="false"/>
          <w:i w:val="false"/>
          <w:iCs w:val="false"/>
          <w:color w:val="1E293B"/>
          <w:sz w:val="22"/>
          <w:szCs w:val="22"/>
        </w:rPr>
        <w:t xml:space="preserve">Admin interface for managing lecturer profiles with program assignment is available. Regular verification when staff transfer between programs is needed.</w:t>
      </w:r>
    </w:p>
    <w:p>
      <w:pPr>
        <w:spacing w:after="80" w:before="240"/>
      </w:pPr>
      <w:r>
        <w:rPr>
          <w:rFonts w:ascii="Calibri" w:cs="Calibri" w:eastAsia="Calibri" w:hAnsi="Calibri"/>
          <w:b/>
          <w:bCs/>
          <w:color w:val="1E293B"/>
          <w:sz w:val="24"/>
          <w:szCs w:val="24"/>
        </w:rPr>
        <w:t xml:space="preserve">7.3 API Availability &amp; SLA</w:t>
      </w:r>
    </w:p>
    <w:p>
      <w:pPr>
        <w:spacing w:after="140" w:before="0" w:line="276"/>
        <w:jc w:val="left"/>
      </w:pPr>
      <w:r>
        <w:rPr>
          <w:rFonts w:ascii="Calibri" w:cs="Calibri" w:eastAsia="Calibri" w:hAnsi="Calibri"/>
          <w:b/>
          <w:bCs/>
          <w:i w:val="false"/>
          <w:iCs w:val="false"/>
          <w:color w:val="DC2626"/>
          <w:sz w:val="22"/>
          <w:szCs w:val="22"/>
        </w:rPr>
        <w:t xml:space="preserve">Challenge: </w:t>
      </w:r>
      <w:r>
        <w:rPr>
          <w:rFonts w:ascii="Calibri" w:cs="Calibri" w:eastAsia="Calibri" w:hAnsi="Calibri"/>
          <w:b w:val="false"/>
          <w:bCs w:val="false"/>
          <w:i w:val="false"/>
          <w:iCs w:val="false"/>
          <w:color w:val="1E293B"/>
          <w:sz w:val="22"/>
          <w:szCs w:val="22"/>
        </w:rPr>
        <w:t xml:space="preserve">No formal SLA or maintenance window notification from the E-port API team. Dashboards may show empty or error states during unannounced API downtime.</w:t>
      </w:r>
    </w:p>
    <w:p>
      <w:pPr>
        <w:spacing w:after="140" w:before="0" w:line="276"/>
        <w:jc w:val="left"/>
      </w:pPr>
      <w:r>
        <w:rPr>
          <w:rFonts w:ascii="Calibri" w:cs="Calibri" w:eastAsia="Calibri" w:hAnsi="Calibri"/>
          <w:b/>
          <w:bCs/>
          <w:i w:val="false"/>
          <w:iCs w:val="false"/>
          <w:color w:val="16A34A"/>
          <w:sz w:val="22"/>
          <w:szCs w:val="22"/>
        </w:rPr>
        <w:t xml:space="preserve">Mitigation: </w:t>
      </w:r>
      <w:r>
        <w:rPr>
          <w:rFonts w:ascii="Calibri" w:cs="Calibri" w:eastAsia="Calibri" w:hAnsi="Calibri"/>
          <w:b w:val="false"/>
          <w:bCs w:val="false"/>
          <w:i w:val="false"/>
          <w:iCs w:val="false"/>
          <w:color w:val="1E293B"/>
          <w:sz w:val="22"/>
          <w:szCs w:val="22"/>
        </w:rPr>
        <w:t xml:space="preserve">Implementing error state UI with clear messaging, server-side data caching as fallback, and discussing maintenance notification process with Tech team.</w:t>
      </w:r>
    </w:p>
    <w:p>
      <w:pPr>
        <w:spacing w:after="80" w:before="240"/>
      </w:pPr>
      <w:r>
        <w:rPr>
          <w:rFonts w:ascii="Calibri" w:cs="Calibri" w:eastAsia="Calibri" w:hAnsi="Calibri"/>
          <w:b/>
          <w:bCs/>
          <w:color w:val="1E293B"/>
          <w:sz w:val="24"/>
          <w:szCs w:val="24"/>
        </w:rPr>
        <w:t xml:space="preserve">7.4 Identity Mapping Dependency</w:t>
      </w:r>
    </w:p>
    <w:p>
      <w:pPr>
        <w:spacing w:after="140" w:before="0" w:line="276"/>
        <w:jc w:val="left"/>
      </w:pPr>
      <w:r>
        <w:rPr>
          <w:rFonts w:ascii="Calibri" w:cs="Calibri" w:eastAsia="Calibri" w:hAnsi="Calibri"/>
          <w:b/>
          <w:bCs/>
          <w:i w:val="false"/>
          <w:iCs w:val="false"/>
          <w:color w:val="DC2626"/>
          <w:sz w:val="22"/>
          <w:szCs w:val="22"/>
        </w:rPr>
        <w:t xml:space="preserve">Challenge: </w:t>
      </w:r>
      <w:r>
        <w:rPr>
          <w:rFonts w:ascii="Calibri" w:cs="Calibri" w:eastAsia="Calibri" w:hAnsi="Calibri"/>
          <w:b w:val="false"/>
          <w:bCs w:val="false"/>
          <w:i w:val="false"/>
          <w:iCs w:val="false"/>
          <w:color w:val="1E293B"/>
          <w:sz w:val="22"/>
          <w:szCs w:val="22"/>
        </w:rPr>
        <w:t xml:space="preserve">New lecturers will not have KPI data displayed until they are manually added to our local database with their staff_code and program_id.</w:t>
      </w:r>
    </w:p>
    <w:p>
      <w:pPr>
        <w:spacing w:after="140" w:before="0" w:line="276"/>
        <w:jc w:val="left"/>
      </w:pPr>
      <w:r>
        <w:rPr>
          <w:rFonts w:ascii="Calibri" w:cs="Calibri" w:eastAsia="Calibri" w:hAnsi="Calibri"/>
          <w:b/>
          <w:bCs/>
          <w:i w:val="false"/>
          <w:iCs w:val="false"/>
          <w:color w:val="16A34A"/>
          <w:sz w:val="22"/>
          <w:szCs w:val="22"/>
        </w:rPr>
        <w:t xml:space="preserve">Mitigation: </w:t>
      </w:r>
      <w:r>
        <w:rPr>
          <w:rFonts w:ascii="Calibri" w:cs="Calibri" w:eastAsia="Calibri" w:hAnsi="Calibri"/>
          <w:b w:val="false"/>
          <w:bCs w:val="false"/>
          <w:i w:val="false"/>
          <w:iCs w:val="false"/>
          <w:color w:val="1E293B"/>
          <w:sz w:val="22"/>
          <w:szCs w:val="22"/>
        </w:rPr>
        <w:t xml:space="preserve">Providing a staff-code lookup endpoint and admin user management interface. Admin users can add new lecturers through the system's admin panel.</w:t>
      </w:r>
    </w:p>
    <w:p>
      <w:pPr>
        <w:spacing w:after="140" w:before="400"/>
      </w:pPr>
      <w:r>
        <w:rPr>
          <w:rFonts w:ascii="Georgia" w:cs="Georgia" w:eastAsia="Georgia" w:hAnsi="Georgia"/>
          <w:b/>
          <w:bCs/>
          <w:color w:val="1E2761"/>
          <w:sz w:val="32"/>
          <w:szCs w:val="32"/>
        </w:rPr>
        <w:t xml:space="preserve">8. Current System Status</w:t>
      </w:r>
    </w:p>
    <w:p>
      <w:pPr>
        <w:spacing w:after="0" w:before="60"/>
      </w:pPr>
    </w:p>
    <w:tbl>
      <w:tblPr>
        <w:tblW w:type="dxa" w:w="8784"/>
        <w:tblBorders>
          <w:top w:val="single" w:color="CBD5E1" w:sz="1"/>
          <w:left w:val="single" w:color="CBD5E1" w:sz="1"/>
          <w:bottom w:val="single" w:color="CBD5E1" w:sz="1"/>
          <w:right w:val="single" w:color="CBD5E1" w:sz="1"/>
          <w:insideH w:val="single" w:color="CBD5E1" w:sz="1"/>
          <w:insideV w:val="single" w:color="CBD5E1" w:sz="1"/>
        </w:tblBorders>
        <w:tblLayout w:type="fixed"/>
      </w:tblPr>
      <w:tblGrid>
        <w:gridCol w:w="100"/>
        <w:gridCol w:w="100"/>
        <w:gridCol w:w="100"/>
      </w:tblGrid>
      <w:tr>
        <w:tc>
          <w:tcPr>
            <w:tcW w:type="dxa" w:w="3338"/>
            <w:shd w:fill="028090"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Component</w:t>
            </w:r>
          </w:p>
        </w:tc>
        <w:tc>
          <w:tcPr>
            <w:tcW w:type="dxa" w:w="1932"/>
            <w:shd w:fill="028090"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Status</w:t>
            </w:r>
          </w:p>
        </w:tc>
        <w:tc>
          <w:tcPr>
            <w:tcW w:type="dxa" w:w="3514"/>
            <w:shd w:fill="028090" w:color="auto" w:val="clear"/>
            <w:tcMar>
              <w:top w:type="dxa" w:w="43"/>
              <w:left w:type="dxa" w:w="115"/>
              <w:bottom w:type="dxa" w:w="43"/>
              <w:right w:type="dxa" w:w="115"/>
            </w:tcMar>
          </w:tcPr>
          <w:p>
            <w:pPr>
              <w:spacing w:after="50" w:before="50"/>
              <w:jc w:val="left"/>
            </w:pPr>
            <w:r>
              <w:rPr>
                <w:rFonts w:ascii="Calibri" w:cs="Calibri" w:eastAsia="Calibri" w:hAnsi="Calibri"/>
                <w:b/>
                <w:bCs/>
                <w:color w:val="FFFFFF"/>
                <w:sz w:val="20"/>
                <w:szCs w:val="20"/>
              </w:rPr>
              <w:t xml:space="preserve">Details</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E-port API Integration</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Working</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45 endpoints proxied via backend</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Individual Lecturer KPI Dashboard</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All 5 domains with charts and tables</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Admin KPI Overview</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All 59 lecturers with batch fetching</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Lecturer Profiles Database</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59 profiles across 8 programs</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Program Management</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CRUD operations for 8 programs</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Staff to Program Mapping</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16A34A"/>
                <w:sz w:val="20"/>
                <w:szCs w:val="20"/>
              </w:rPr>
              <w:t xml:space="preserve">Complete</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All lecturers have program_id assigned</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Program-level KPI Aggregation</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D97706"/>
                <w:sz w:val="20"/>
                <w:szCs w:val="20"/>
              </w:rPr>
              <w:t xml:space="preserve">In Progress</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Aggregation endpoint being built</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Server-side KPI Caching</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DC2626"/>
                <w:sz w:val="20"/>
                <w:szCs w:val="20"/>
              </w:rPr>
              <w:t xml:space="preserve">Not Started</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Recommended for production</w:t>
            </w:r>
          </w:p>
        </w:tc>
      </w:tr>
      <w:tr>
        <w:tc>
          <w:tcPr>
            <w:tcW w:type="dxa" w:w="3338"/>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Dean Dashboard</w:t>
            </w:r>
          </w:p>
        </w:tc>
        <w:tc>
          <w:tcPr>
            <w:tcW w:type="dxa" w:w="1932"/>
            <w:tcMar>
              <w:top w:type="dxa" w:w="43"/>
              <w:left w:type="dxa" w:w="115"/>
              <w:bottom w:type="dxa" w:w="43"/>
              <w:right w:type="dxa" w:w="115"/>
            </w:tcMar>
          </w:tcPr>
          <w:p>
            <w:pPr>
              <w:spacing w:after="50" w:before="50"/>
              <w:jc w:val="left"/>
            </w:pPr>
            <w:r>
              <w:rPr>
                <w:rFonts w:ascii="Calibri" w:cs="Calibri" w:eastAsia="Calibri" w:hAnsi="Calibri"/>
                <w:b/>
                <w:bCs/>
                <w:color w:val="D97706"/>
                <w:sz w:val="20"/>
                <w:szCs w:val="20"/>
              </w:rPr>
              <w:t xml:space="preserve">In Progress</w:t>
            </w:r>
          </w:p>
        </w:tc>
        <w:tc>
          <w:tcPr>
            <w:tcW w:type="dxa" w:w="3514"/>
            <w:tcMar>
              <w:top w:type="dxa" w:w="43"/>
              <w:left w:type="dxa" w:w="115"/>
              <w:bottom w:type="dxa" w:w="43"/>
              <w:right w:type="dxa" w:w="115"/>
            </w:tcMar>
          </w:tcPr>
          <w:p>
            <w:pPr>
              <w:spacing w:after="50" w:before="50"/>
              <w:jc w:val="left"/>
            </w:pPr>
            <w:r>
              <w:rPr>
                <w:rFonts w:ascii="Calibri" w:cs="Calibri" w:eastAsia="Calibri" w:hAnsi="Calibri"/>
                <w:b w:val="false"/>
                <w:bCs w:val="false"/>
                <w:color w:val="1E293B"/>
                <w:sz w:val="20"/>
                <w:szCs w:val="20"/>
              </w:rPr>
              <w:t xml:space="preserve">Partially built, needs live KPI data</w:t>
            </w:r>
          </w:p>
        </w:tc>
      </w:tr>
    </w:tbl>
    <w:p>
      <w:pPr>
        <w:spacing w:after="140" w:before="400"/>
      </w:pPr>
      <w:r>
        <w:rPr>
          <w:rFonts w:ascii="Georgia" w:cs="Georgia" w:eastAsia="Georgia" w:hAnsi="Georgia"/>
          <w:b/>
          <w:bCs/>
          <w:color w:val="1E2761"/>
          <w:sz w:val="32"/>
          <w:szCs w:val="32"/>
        </w:rPr>
        <w:t xml:space="preserve">9. Next Steps</w:t>
      </w:r>
    </w:p>
    <w:p>
      <w:pPr>
        <w:spacing w:after="80" w:before="240"/>
      </w:pPr>
      <w:r>
        <w:rPr>
          <w:rFonts w:ascii="Calibri" w:cs="Calibri" w:eastAsia="Calibri" w:hAnsi="Calibri"/>
          <w:b/>
          <w:bCs/>
          <w:color w:val="1E293B"/>
          <w:sz w:val="24"/>
          <w:szCs w:val="24"/>
        </w:rPr>
        <w:t xml:space="preserve">Immediate (This Week)</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Build program-level KPI aggregation endpoint on backend API</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Implement server-side KPI data caching to reduce E-port API load</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Update Dean dashboard with live program-level KPI data</w:t>
      </w:r>
    </w:p>
    <w:p>
      <w:pPr>
        <w:spacing w:after="80" w:before="240"/>
      </w:pPr>
      <w:r>
        <w:rPr>
          <w:rFonts w:ascii="Calibri" w:cs="Calibri" w:eastAsia="Calibri" w:hAnsi="Calibri"/>
          <w:b/>
          <w:bCs/>
          <w:color w:val="1E293B"/>
          <w:sz w:val="24"/>
          <w:szCs w:val="24"/>
        </w:rPr>
        <w:t xml:space="preserve">Short-term (Next 2 Weeks)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Add evaluation period comparison feature for historical analysis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Implement KPI data export functionality (PDF / Excel formats)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Security hardening: bind internal ports, configure firewall, add swap space</w:t>
      </w:r>
    </w:p>
    <w:p>
      <w:pPr>
        <w:spacing w:after="80" w:before="240"/>
      </w:pPr>
      <w:r>
        <w:rPr>
          <w:rFonts w:ascii="Calibri" w:cs="Calibri" w:eastAsia="Calibri" w:hAnsi="Calibri"/>
          <w:b/>
          <w:bCs/>
          <w:color w:val="1E293B"/>
          <w:sz w:val="24"/>
          <w:szCs w:val="24"/>
        </w:rPr>
        <w:t xml:space="preserve">Before Go-Live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Set up automated KPI data refresh scheduling (cron job)</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Configure monitoring and alerting system</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Conduct comprehensive testing and quality assurance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Obtain data dictionary documentation from E-port Tech team</w:t>
      </w:r>
    </w:p>
    <w:p>
      <w:pPr>
        <w:spacing w:after="140" w:before="400"/>
      </w:pPr>
      <w:r>
        <w:rPr>
          <w:rFonts w:ascii="Georgia" w:cs="Georgia" w:eastAsia="Georgia" w:hAnsi="Georgia"/>
          <w:b/>
          <w:bCs/>
          <w:color w:val="1E2761"/>
          <w:sz w:val="32"/>
          <w:szCs w:val="32"/>
        </w:rPr>
        <w:t xml:space="preserve">10. Conclusion</w:t>
      </w:r>
    </w:p>
    <w:p>
      <w:pPr>
        <w:spacing w:after="140" w:before="0" w:line="276"/>
        <w:jc w:val="left"/>
      </w:pPr>
      <w:r>
        <w:rPr>
          <w:rFonts w:ascii="Calibri" w:cs="Calibri" w:eastAsia="Calibri" w:hAnsi="Calibri"/>
          <w:b w:val="false"/>
          <w:bCs w:val="false"/>
          <w:i w:val="false"/>
          <w:iCs w:val="false"/>
          <w:color w:val="1E293B"/>
          <w:sz w:val="22"/>
          <w:szCs w:val="22"/>
        </w:rPr>
        <w:t xml:space="preserve">The Tuesday meeting confirmed that the E-port KPI API is a centralized university-wide system and its response structure cannot be modified to include program identifiers. This is an external constraint that is outside our project's scope to change.</w:t>
      </w:r>
    </w:p>
    <w:p>
      <w:pPr>
        <w:spacing w:after="140" w:before="0" w:line="276"/>
        <w:jc w:val="left"/>
      </w:pPr>
      <w:r>
        <w:rPr>
          <w:rFonts w:ascii="Calibri" w:cs="Calibri" w:eastAsia="Calibri" w:hAnsi="Calibri"/>
          <w:b w:val="false"/>
          <w:bCs w:val="false"/>
          <w:i w:val="false"/>
          <w:iCs w:val="false"/>
          <w:color w:val="1E293B"/>
          <w:sz w:val="22"/>
          <w:szCs w:val="22"/>
        </w:rPr>
        <w:t xml:space="preserve">As a result, our SOM-BI team is fully responsible for:</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Maintaining the staff_code to program_id mapping in our local database (lecturer_profiles table)</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Fetching KPI data per-lecturer via the E-port API using staff_code as the identifier</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Aggregating program-level KPI performance at the application layer for Dean and Admin dashboards</w:t>
      </w:r>
    </w:p>
    <w:p>
      <w:pPr>
        <w:pStyle w:val="ListParagraph"/>
        <w:numPr>
          <w:ilvl w:val="0"/>
          <w:numId w:val="1"/>
        </w:numPr>
        <w:spacing w:after="80" w:line="276"/>
      </w:pPr>
      <w:r>
        <w:rPr>
          <w:rFonts w:ascii="Calibri" w:cs="Calibri" w:eastAsia="Calibri" w:hAnsi="Calibri"/>
          <w:b w:val="false"/>
          <w:bCs w:val="false"/>
          <w:color w:val="1E293B"/>
          <w:sz w:val="22"/>
          <w:szCs w:val="22"/>
        </w:rPr>
        <w:t xml:space="preserve">Keeping the mapping current when staff changes (transfers, new hires, departures) occur</w:t>
      </w:r>
    </w:p>
    <w:p>
      <w:pPr>
        <w:spacing w:after="0" w:before="120"/>
      </w:pPr>
    </w:p>
    <w:p>
      <w:pPr>
        <w:spacing w:after="140" w:before="0" w:line="276"/>
        <w:jc w:val="left"/>
      </w:pPr>
      <w:r>
        <w:rPr>
          <w:rFonts w:ascii="Calibri" w:cs="Calibri" w:eastAsia="Calibri" w:hAnsi="Calibri"/>
          <w:b w:val="false"/>
          <w:bCs w:val="false"/>
          <w:i w:val="false"/>
          <w:iCs w:val="false"/>
          <w:color w:val="1E293B"/>
          <w:sz w:val="22"/>
          <w:szCs w:val="22"/>
        </w:rPr>
        <w:t xml:space="preserve">This approach is already implemented in the current system with 59 lecturer profiles correctly mapped to 8 academic programs. The remaining work focuses on building the program-level aggregation views, improving caching and performance, and completing the Dean dashboard with live data.</w:t>
      </w:r>
    </w:p>
    <w:p>
      <w:pPr>
        <w:pBdr>
          <w:bottom w:val="single" w:color="028090" w:sz="8" w:space="1"/>
        </w:pBdr>
        <w:spacing w:after="160" w:before="160"/>
      </w:pPr>
    </w:p>
    <w:p>
      <w:pPr>
        <w:spacing w:after="0" w:before="200"/>
      </w:pPr>
    </w:p>
    <w:p>
      <w:pPr>
        <w:spacing w:after="140" w:before="0" w:line="276"/>
        <w:jc w:val="left"/>
      </w:pPr>
      <w:r>
        <w:rPr>
          <w:rFonts w:ascii="Calibri" w:cs="Calibri" w:eastAsia="Calibri" w:hAnsi="Calibri"/>
          <w:b/>
          <w:bCs/>
          <w:i w:val="false"/>
          <w:iCs w:val="false"/>
          <w:color w:val="64748B"/>
          <w:sz w:val="20"/>
          <w:szCs w:val="20"/>
        </w:rPr>
        <w:t xml:space="preserve">Prepared by: </w:t>
      </w:r>
      <w:r>
        <w:rPr>
          <w:rFonts w:ascii="Calibri" w:cs="Calibri" w:eastAsia="Calibri" w:hAnsi="Calibri"/>
          <w:b w:val="false"/>
          <w:bCs w:val="false"/>
          <w:i w:val="false"/>
          <w:iCs w:val="false"/>
          <w:color w:val="1E293B"/>
          <w:sz w:val="20"/>
          <w:szCs w:val="20"/>
        </w:rPr>
        <w:t xml:space="preserve">SOM-BI Development Team</w:t>
      </w:r>
    </w:p>
    <w:p>
      <w:pPr>
        <w:spacing w:after="140" w:before="0" w:line="276"/>
        <w:jc w:val="left"/>
      </w:pPr>
      <w:r>
        <w:rPr>
          <w:rFonts w:ascii="Calibri" w:cs="Calibri" w:eastAsia="Calibri" w:hAnsi="Calibri"/>
          <w:b/>
          <w:bCs/>
          <w:i w:val="false"/>
          <w:iCs w:val="false"/>
          <w:color w:val="64748B"/>
          <w:sz w:val="20"/>
          <w:szCs w:val="20"/>
        </w:rPr>
        <w:t xml:space="preserve">Report Date: </w:t>
      </w:r>
      <w:r>
        <w:rPr>
          <w:rFonts w:ascii="Calibri" w:cs="Calibri" w:eastAsia="Calibri" w:hAnsi="Calibri"/>
          <w:b w:val="false"/>
          <w:bCs w:val="false"/>
          <w:i w:val="false"/>
          <w:iCs w:val="false"/>
          <w:color w:val="1E293B"/>
          <w:sz w:val="20"/>
          <w:szCs w:val="20"/>
        </w:rPr>
        <w:t xml:space="preserve">March 22, 2026</w:t>
      </w:r>
    </w:p>
    <w:p>
      <w:pPr>
        <w:spacing w:after="140" w:before="0" w:line="276"/>
        <w:jc w:val="left"/>
      </w:pPr>
      <w:r>
        <w:rPr>
          <w:rFonts w:ascii="Calibri" w:cs="Calibri" w:eastAsia="Calibri" w:hAnsi="Calibri"/>
          <w:b/>
          <w:bCs/>
          <w:i w:val="false"/>
          <w:iCs w:val="false"/>
          <w:color w:val="64748B"/>
          <w:sz w:val="20"/>
          <w:szCs w:val="20"/>
        </w:rPr>
        <w:t xml:space="preserve">System URL: </w:t>
      </w:r>
      <w:r>
        <w:rPr>
          <w:rFonts w:ascii="Calibri" w:cs="Calibri" w:eastAsia="Calibri" w:hAnsi="Calibri"/>
          <w:b w:val="false"/>
          <w:bCs w:val="false"/>
          <w:i w:val="false"/>
          <w:iCs w:val="false"/>
          <w:color w:val="028090"/>
          <w:sz w:val="20"/>
          <w:szCs w:val="20"/>
        </w:rPr>
        <w:t xml:space="preserve">https://som.mlbbshop.app</w:t>
      </w:r>
    </w:p>
    <w:p>
      <w:pPr>
        <w:spacing w:after="140" w:before="0" w:line="276"/>
        <w:jc w:val="left"/>
      </w:pPr>
      <w:r>
        <w:rPr>
          <w:rFonts w:ascii="Calibri" w:cs="Calibri" w:eastAsia="Calibri" w:hAnsi="Calibri"/>
          <w:b/>
          <w:bCs/>
          <w:i w:val="false"/>
          <w:iCs w:val="false"/>
          <w:color w:val="64748B"/>
          <w:sz w:val="20"/>
          <w:szCs w:val="20"/>
        </w:rPr>
        <w:t xml:space="preserve">Project: </w:t>
      </w:r>
      <w:r>
        <w:rPr>
          <w:rFonts w:ascii="Calibri" w:cs="Calibri" w:eastAsia="Calibri" w:hAnsi="Calibri"/>
          <w:b w:val="false"/>
          <w:bCs w:val="false"/>
          <w:i w:val="false"/>
          <w:iCs w:val="false"/>
          <w:color w:val="1E293B"/>
          <w:sz w:val="20"/>
          <w:szCs w:val="20"/>
        </w:rPr>
        <w:t xml:space="preserve">SOM-BI — School of Management Business Intelligence, Mae Fah Luang University</w:t>
      </w:r>
    </w:p>
    <w:sectPr>
      <w:headerReference w:type="default" r:id="rId7"/>
      <w:footerReference w:type="default" r:id="rId8"/>
      <w:pgSz w:w="11906" w:h="16838" w:orient="portrait"/>
      <w:pgMar w:top="1440" w:right="1727" w:bottom="1152" w:left="172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64748B"/>
        <w:sz w:val="16"/>
        <w:szCs w:val="16"/>
      </w:rPr>
      <w:t xml:space="preserve">SOM-BI — Mae Fah Luang University  •  Page </w:t>
    </w:r>
    <w:r>
      <w:rPr>
        <w:rFonts w:ascii="Calibri" w:cs="Calibri" w:eastAsia="Calibri" w:hAnsi="Calibri"/>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val="false"/>
        <w:bCs w:val="false"/>
        <w:i/>
        <w:iCs/>
        <w:color w:val="64748B"/>
        <w:sz w:val="16"/>
        <w:szCs w:val="16"/>
      </w:rPr>
      <w:t xml:space="preserve">SOM-BI  |  Meeting Outcomes Report  |  March 18,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Meeting Outcomes Report — March 18, 2026</dc:title>
  <dc:creator>SOM-BI Development Team</dc:creator>
  <dc:description>Summary report of the KPI API Integration Meeting</dc:description>
  <cp:lastModifiedBy>Un-named</cp:lastModifiedBy>
  <cp:revision>1</cp:revision>
  <dcterms:created xsi:type="dcterms:W3CDTF">2026-03-22T05:52:04.062Z</dcterms:created>
  <dcterms:modified xsi:type="dcterms:W3CDTF">2026-03-22T05:52:04.068Z</dcterms:modified>
</cp:coreProperties>
</file>

<file path=docProps/custom.xml><?xml version="1.0" encoding="utf-8"?>
<Properties xmlns="http://schemas.openxmlformats.org/officeDocument/2006/custom-properties" xmlns:vt="http://schemas.openxmlformats.org/officeDocument/2006/docPropsVTypes"/>
</file>