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2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2546"/>
        <w:gridCol w:w="1595"/>
        <w:gridCol w:w="1414"/>
        <w:gridCol w:w="1155"/>
        <w:gridCol w:w="1244"/>
      </w:tblGrid>
      <w:tr w14:paraId="19E1C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5" w:type="dxa"/>
            <w:tcBorders>
              <w:top w:val="single" w:color="000000" w:themeColor="dark1" w:sz="8" w:space="0"/>
              <w:left w:val="single" w:color="000000" w:themeColor="dark1" w:sz="8" w:space="0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noWrap/>
            <w:vAlign w:val="center"/>
          </w:tcPr>
          <w:p w14:paraId="2DEC3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sz w:val="21"/>
                <w:szCs w:val="21"/>
                <w:u w:val="none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  <w:t>方法</w:t>
            </w:r>
          </w:p>
        </w:tc>
        <w:tc>
          <w:tcPr>
            <w:tcW w:w="2546" w:type="dxa"/>
            <w:tcBorders>
              <w:top w:val="single" w:color="000000" w:themeColor="dark1" w:sz="8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noWrap/>
            <w:vAlign w:val="center"/>
          </w:tcPr>
          <w:p w14:paraId="43AF75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  <w:t>方法概述</w:t>
            </w:r>
          </w:p>
        </w:tc>
        <w:tc>
          <w:tcPr>
            <w:tcW w:w="1595" w:type="dxa"/>
            <w:tcBorders>
              <w:top w:val="single" w:color="000000" w:themeColor="dark1" w:sz="8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noWrap/>
            <w:vAlign w:val="center"/>
          </w:tcPr>
          <w:p w14:paraId="3716E7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sz w:val="21"/>
                <w:szCs w:val="21"/>
                <w:u w:val="none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  <w:t>适用阶段</w:t>
            </w:r>
          </w:p>
        </w:tc>
        <w:tc>
          <w:tcPr>
            <w:tcW w:w="1414" w:type="dxa"/>
            <w:tcBorders>
              <w:top w:val="single" w:color="000000" w:themeColor="dark1" w:sz="8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noWrap/>
            <w:vAlign w:val="center"/>
          </w:tcPr>
          <w:p w14:paraId="49D7FC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sz w:val="21"/>
                <w:szCs w:val="21"/>
                <w:u w:val="none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  <w:t>优点</w:t>
            </w:r>
          </w:p>
        </w:tc>
        <w:tc>
          <w:tcPr>
            <w:tcW w:w="1155" w:type="dxa"/>
            <w:tcBorders>
              <w:top w:val="single" w:color="000000" w:themeColor="dark1" w:sz="8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noWrap/>
            <w:vAlign w:val="center"/>
          </w:tcPr>
          <w:p w14:paraId="4F9116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sz w:val="21"/>
                <w:szCs w:val="21"/>
                <w:u w:val="none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  <w:t>缺点</w:t>
            </w:r>
          </w:p>
        </w:tc>
        <w:tc>
          <w:tcPr>
            <w:tcW w:w="1244" w:type="dxa"/>
            <w:tcBorders>
              <w:top w:val="single" w:color="000000" w:themeColor="dark1" w:sz="8" w:space="0"/>
              <w:left w:val="nil"/>
              <w:bottom w:val="single" w:color="000000" w:themeColor="dark1" w:sz="6" w:space="0"/>
              <w:right w:val="single" w:color="000000" w:themeColor="dark1" w:sz="8" w:space="0"/>
            </w:tcBorders>
            <w:shd w:val="clear" w:color="auto" w:fill="CCCCCC" w:themeFill="dark1" w:themeFillTint="32"/>
            <w:noWrap/>
            <w:vAlign w:val="center"/>
          </w:tcPr>
          <w:p w14:paraId="24089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sz w:val="21"/>
                <w:szCs w:val="21"/>
                <w:u w:val="none"/>
                <w:lang w:val="en-US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i w:val="0"/>
                <w:iCs w:val="0"/>
                <w:color w:val="000000" w:themeColor="dark1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dk1"/>
                  </w14:solidFill>
                </w14:textFill>
              </w:rPr>
              <w:t>适用示例或备注</w:t>
            </w:r>
          </w:p>
        </w:tc>
      </w:tr>
      <w:tr w14:paraId="3E5DD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5" w:type="dxa"/>
            <w:tcBorders>
              <w:top w:val="single" w:color="000000" w:themeColor="dark1" w:sz="6" w:space="0"/>
              <w:left w:val="single" w:color="000000" w:themeColor="dark1" w:sz="8" w:space="0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05F57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由低向上估计</w:t>
            </w:r>
          </w:p>
        </w:tc>
        <w:tc>
          <w:tcPr>
            <w:tcW w:w="2546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624552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由低向上估计是一种自下而上的方法，首先将项目分解为多个可操作的任务，估算每个任务的工作量后再汇总得出总工作量。这一过程通常使用工作分解结构（WBS）进行迭代，直到任务不能进一步分解。</w:t>
            </w:r>
          </w:p>
        </w:tc>
        <w:tc>
          <w:tcPr>
            <w:tcW w:w="1595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655E45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适用于项目规划的后期阶段，特别是项目已经清晰定义、具有明确的任务边界时。如果是全新项目或缺乏历史数据，也建议采用这种方法。</w:t>
            </w:r>
          </w:p>
        </w:tc>
        <w:tc>
          <w:tcPr>
            <w:tcW w:w="1414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32B075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详细、精确，提供更高估算精度；</w:t>
            </w:r>
          </w:p>
          <w:p w14:paraId="63B73D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可跟踪每个小任务，便于管理</w:t>
            </w:r>
          </w:p>
        </w:tc>
        <w:tc>
          <w:tcPr>
            <w:tcW w:w="1155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652DF2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时间成本高，前期不适用；</w:t>
            </w:r>
          </w:p>
          <w:p w14:paraId="3794E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需详细任务信息</w:t>
            </w:r>
          </w:p>
        </w:tc>
        <w:tc>
          <w:tcPr>
            <w:tcW w:w="1244" w:type="dxa"/>
            <w:tcBorders>
              <w:top w:val="single" w:color="000000" w:themeColor="dark1" w:sz="6" w:space="0"/>
              <w:left w:val="nil"/>
              <w:bottom w:val="nil"/>
              <w:right w:val="single" w:color="000000" w:themeColor="dark1" w:sz="8" w:space="0"/>
            </w:tcBorders>
            <w:shd w:val="clear" w:color="auto" w:fill="E5E5E5" w:themeFill="dark1" w:themeFillTint="19"/>
            <w:noWrap/>
            <w:vAlign w:val="center"/>
          </w:tcPr>
          <w:p w14:paraId="36B484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适用于模块化较清晰的大型系统，如ERP系统</w:t>
            </w:r>
          </w:p>
        </w:tc>
      </w:tr>
      <w:tr w14:paraId="0C80B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5" w:type="dxa"/>
            <w:tcBorders>
              <w:top w:val="nil"/>
              <w:left w:val="single" w:color="000000" w:themeColor="dark1" w:sz="8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1D36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自顶向下和参数模型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7F5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自顶向下估计方法从整体项目出发，采用类比或参数模型对工作量进行估算。在参数化模型中，通过数学公式基于项目的规模和</w:t>
            </w: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生产率等参数计算工作量。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FC3D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适合项目早期阶段，当细节尚不明确时，快速生成大致的工作量估算。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11D6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快速，适用于早期规划；</w:t>
            </w:r>
          </w:p>
          <w:p w14:paraId="384A09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参数化模型基于历史数据提供合理估算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18EC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精度较低，可能忽略细节；</w:t>
            </w:r>
          </w:p>
          <w:p w14:paraId="7D789B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依赖高质量输入数据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color="000000" w:themeColor="dark1" w:sz="8" w:space="0"/>
            </w:tcBorders>
            <w:shd w:val="clear" w:color="auto" w:fill="FFFFFF"/>
            <w:noWrap/>
            <w:vAlign w:val="center"/>
          </w:tcPr>
          <w:p w14:paraId="357E8E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参数化模型如COCOMO，适用于有历史项目数据的团队</w:t>
            </w:r>
          </w:p>
        </w:tc>
      </w:tr>
      <w:tr w14:paraId="5AC32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5" w:type="dxa"/>
            <w:tcBorders>
              <w:top w:val="nil"/>
              <w:left w:val="single" w:color="000000" w:themeColor="dark1" w:sz="8" w:space="0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3D3DB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专家判断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51D5B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专家判断依赖具备丰富经验的专家对任务的主观评估。Delphi估算法是专家判断的一种重要形式，采用匿名、多轮反馈的方式汇总专家意见，最终得出共识。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47ACFD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适用于全新系统开发、替换现有系统时，或缺乏数据、需依赖经验判断的情况。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3A304D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灵活，适用性广；</w:t>
            </w:r>
          </w:p>
          <w:p w14:paraId="536C2A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通过多位专家意见，避免个人偏见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2B5348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主观性高，依赖专家经验；</w:t>
            </w:r>
          </w:p>
          <w:p w14:paraId="51A2FB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Delphi法耗时较长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color="000000" w:themeColor="dark1" w:sz="8" w:space="0"/>
            </w:tcBorders>
            <w:shd w:val="clear" w:color="auto" w:fill="E5E5E5" w:themeFill="dark1" w:themeFillTint="19"/>
            <w:noWrap/>
            <w:vAlign w:val="center"/>
          </w:tcPr>
          <w:p w14:paraId="2B2794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在替换一个遗留系统时，专家可以基于原系统的规模和复杂度，通过经验判断替换所需的工作量。</w:t>
            </w:r>
          </w:p>
        </w:tc>
      </w:tr>
      <w:tr w14:paraId="61638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5" w:type="dxa"/>
            <w:tcBorders>
              <w:top w:val="nil"/>
              <w:left w:val="single" w:color="000000" w:themeColor="dark1" w:sz="8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91D9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对比估计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9FAC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对比估计是一种基于案例的推理方法，通过与类似项目的比较得出工作量估算。通常使用参数化模型或欧几里得距离公式，量化新项目与历史项目之间的相似性。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76A3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适用于具有丰富历史项目数据的组织。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DBB6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准确，可重复性高；基于历史数据生成高质量估算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12B4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依赖历史数据；</w:t>
            </w:r>
          </w:p>
          <w:p w14:paraId="446B94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难以处理新技术的差异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color="000000" w:themeColor="dark1" w:sz="8" w:space="0"/>
            </w:tcBorders>
            <w:shd w:val="clear" w:color="auto" w:fill="FFFFFF"/>
            <w:noWrap/>
            <w:vAlign w:val="center"/>
          </w:tcPr>
          <w:p w14:paraId="27C416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开发一个新的移动应用时，可以对比类似的已有应用（如社交平台或电商平台）进行估算。</w:t>
            </w:r>
          </w:p>
        </w:tc>
      </w:tr>
      <w:tr w14:paraId="1F7F60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5" w:type="dxa"/>
            <w:tcBorders>
              <w:top w:val="nil"/>
              <w:left w:val="single" w:color="000000" w:themeColor="dark1" w:sz="8" w:space="0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3E59C1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功能点方法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3D7D9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功能点方法根据软件的功能点数量（如输入、输出、查询等）评估工作量。每个功能点根据复杂度赋予不同权重，综合计算后估算工作量。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7E5071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适用于信息系统、数据密集型项目。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48C826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标准化，与代码无关，适用于不同开发语言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 w:themeFill="dark1" w:themeFillTint="19"/>
            <w:noWrap/>
            <w:vAlign w:val="center"/>
          </w:tcPr>
          <w:p w14:paraId="73F99C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学习成本高，功能点统计复杂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color="000000" w:themeColor="dark1" w:sz="8" w:space="0"/>
            </w:tcBorders>
            <w:shd w:val="clear" w:color="auto" w:fill="E5E5E5" w:themeFill="dark1" w:themeFillTint="19"/>
            <w:noWrap/>
            <w:vAlign w:val="center"/>
          </w:tcPr>
          <w:p w14:paraId="16592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适用于数据密集型项目，评估功能点数量和复杂度</w:t>
            </w:r>
          </w:p>
        </w:tc>
      </w:tr>
      <w:tr w14:paraId="2E179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5" w:type="dxa"/>
            <w:tcBorders>
              <w:top w:val="nil"/>
              <w:left w:val="single" w:color="000000" w:themeColor="dark1" w:sz="8" w:space="0"/>
              <w:bottom w:val="single" w:color="000000" w:themeColor="dark1" w:sz="8" w:space="0"/>
              <w:right w:val="nil"/>
            </w:tcBorders>
            <w:shd w:val="clear" w:color="auto" w:fill="FFFFFF"/>
            <w:noWrap/>
            <w:vAlign w:val="center"/>
          </w:tcPr>
          <w:p w14:paraId="3CC796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对象点方法</w:t>
            </w:r>
          </w:p>
        </w:tc>
        <w:tc>
          <w:tcPr>
            <w:tcW w:w="2546" w:type="dxa"/>
            <w:tcBorders>
              <w:top w:val="nil"/>
              <w:left w:val="nil"/>
              <w:bottom w:val="single" w:color="000000" w:themeColor="dark1" w:sz="8" w:space="0"/>
              <w:right w:val="nil"/>
            </w:tcBorders>
            <w:shd w:val="clear" w:color="auto" w:fill="FFFFFF"/>
            <w:noWrap/>
            <w:vAlign w:val="center"/>
          </w:tcPr>
          <w:p w14:paraId="37515A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对象点方法类似于功能点方法，但更加注重基于对象的开发模式。它评估对象（如屏幕、报表）的数量和复杂度，计算总工作量。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000000" w:themeColor="dark1" w:sz="8" w:space="0"/>
              <w:right w:val="nil"/>
            </w:tcBorders>
            <w:shd w:val="clear" w:color="auto" w:fill="FFFFFF"/>
            <w:noWrap/>
            <w:vAlign w:val="center"/>
          </w:tcPr>
          <w:p w14:paraId="540B6B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面向对象开发的开发项目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000000" w:themeColor="dark1" w:sz="8" w:space="0"/>
              <w:right w:val="nil"/>
            </w:tcBorders>
            <w:shd w:val="clear" w:color="auto" w:fill="FFFFFF"/>
            <w:noWrap/>
            <w:vAlign w:val="center"/>
          </w:tcPr>
          <w:p w14:paraId="3C4EF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直观，符合面向对象设计理念；</w:t>
            </w:r>
          </w:p>
          <w:p w14:paraId="78BC1D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适合基于界面或对象的开发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themeColor="dark1" w:sz="8" w:space="0"/>
              <w:right w:val="nil"/>
            </w:tcBorders>
            <w:shd w:val="clear" w:color="auto" w:fill="FFFFFF"/>
            <w:noWrap/>
            <w:vAlign w:val="center"/>
          </w:tcPr>
          <w:p w14:paraId="6ABF3B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受限于面向对象方法，不适用于其他开发模式</w:t>
            </w:r>
          </w:p>
        </w:tc>
        <w:tc>
          <w:tcPr>
            <w:tcW w:w="1244" w:type="dxa"/>
            <w:tcBorders>
              <w:top w:val="nil"/>
              <w:left w:val="nil"/>
              <w:bottom w:val="single" w:color="000000" w:themeColor="dark1" w:sz="8" w:space="0"/>
              <w:right w:val="single" w:color="000000" w:themeColor="dark1" w:sz="8" w:space="0"/>
            </w:tcBorders>
            <w:shd w:val="clear" w:color="auto" w:fill="FFFFFF"/>
            <w:noWrap/>
            <w:vAlign w:val="center"/>
          </w:tcPr>
          <w:p w14:paraId="3B5AD9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适合基于面向对象编程的项目，如GUI应用开发</w:t>
            </w:r>
          </w:p>
        </w:tc>
      </w:tr>
    </w:tbl>
    <w:p w14:paraId="080A7AED"/>
    <w:p w14:paraId="0F6B324F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在软件开发的项目管理中，工作量估计是项目成功的关键之一。这些</w:t>
      </w: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主要的估计方法</w:t>
      </w: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可以大致分为两类：基于数据和模型的定量方法（如功能点方法、对象点方法、自顶向下和参数模型、对比估计）和基于经验和主观判断的定性方法（如专家判断、由低向上估计）。以下是主要总结点：</w:t>
      </w:r>
    </w:p>
    <w:p w14:paraId="1E83FAC6"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1. 选择适合项目阶段的估计方法</w:t>
      </w:r>
    </w:p>
    <w:p w14:paraId="7686A834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项目初期：当细节尚不清晰时，推荐使用自顶向下估计或参数化模型（如COCOMO），快速生成初步的工作量估算，为后续计划提供参考。</w:t>
      </w:r>
    </w:p>
    <w:p w14:paraId="09FC039E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项目后期：在任务划分明确、细节完善时，由低向上估计可以提供更高的精确度。</w:t>
      </w:r>
    </w:p>
    <w:p w14:paraId="43B9693E"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全新项目或无历史数据：可优先采用专家判断，结合经验和讨论分析未来的工作量。</w:t>
      </w:r>
    </w:p>
    <w:p w14:paraId="169DB500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数据丰富的项目：对于有大量历史项目可参考的团队，对比估计和参数化模型能够借助历史数据生成准确估算。</w:t>
      </w:r>
    </w:p>
    <w:p w14:paraId="73503A89"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2. 结合项目特性选择方法</w:t>
      </w:r>
    </w:p>
    <w:p w14:paraId="5C073D67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复杂模块化项目：如ERP系统等大型系统，适合由低向上估计，逐步分解并跟踪每个子任务。</w:t>
      </w:r>
    </w:p>
    <w:p w14:paraId="485187A5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数据密集型项目：功能点方法通过评估功能点数量和复杂度，适合信息系统等强调输入、输出和查询的开发。</w:t>
      </w:r>
    </w:p>
    <w:p w14:paraId="7F71E6ED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面向对象开发：对象点方法与面向对象开发理念匹配，适用于GUI应用或基于界面的开发。</w:t>
      </w:r>
    </w:p>
    <w:p w14:paraId="72BFE3C4"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3. 优缺点权衡</w:t>
      </w:r>
    </w:p>
    <w:p w14:paraId="497DFB5A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定量方法（如功能点方法、参数模型）提供了标准化和可重复性的估算结果，但其应用往往依赖高质量的输入数据。</w:t>
      </w:r>
    </w:p>
    <w:p w14:paraId="14A17CDA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定性方法（如专家判断）灵活性较高，但高度依赖专家经验，且可能耗费时间。</w:t>
      </w:r>
    </w:p>
    <w:p w14:paraId="659443EB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对比估计在数据丰富的环境中效果出色，但不适应新技术或缺乏历史数据的场景。</w:t>
      </w:r>
    </w:p>
    <w:p w14:paraId="24F03330"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4. 综合使用多种方法</w:t>
      </w:r>
    </w:p>
    <w:p w14:paraId="6662714B">
      <w:pPr>
        <w:keepNext w:val="0"/>
        <w:keepLines w:val="0"/>
        <w:widowControl/>
        <w:suppressLineNumbers w:val="0"/>
        <w:ind w:firstLine="420" w:firstLineChars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实际项目中，单一方法可能难以满足所有需求。通常推荐组合使用不同的方法，例如在项目早期使用自顶向下估计获取整体工作量，并在后期通过由低向上估计或功能点方法进一步细化。对于没有历史数据的新项目，可以结合专家判断和类比估算以提升准确性。</w:t>
      </w:r>
    </w:p>
    <w:p w14:paraId="5CD9BED1"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楷体" w:hAnsi="楷体" w:eastAsia="楷体" w:cs="楷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2024-12-30T18:33:52Z</dcterms:created>
  <dc:creator>Florence</dc:creator>
  <cp:lastModifiedBy>孙华</cp:lastModifiedBy>
  <dcterms:modified xsi:type="dcterms:W3CDTF">2024-12-30T18:45:27Z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eyJoZGlkIjoiNGYxY2Q0MzQwZGQ1ODJkMTc3ODU5OWNhNTU2OTcxZWEiLCJ1c2VySWQiOiIxNjUxMDQ4NDkxIn0=</vt:lpwstr>
  </property>
  <property fmtid="{D5CDD505-2E9C-101B-9397-08002B2CF9AE}" pid="4" name="ICV">
    <vt:lpwstr>D11DE179352C44168199D4827C21BC3C_12</vt:lpwstr>
  </property>
</Properties>
</file>