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4A"/>
          <w:sz w:val="40"/>
        </w:rPr>
        <w:t>后端对接说明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F4E4A"/>
          <w:sz w:val="24"/>
        </w:rPr>
        <w:t>数赋黔滇 · 非遗器物商城（前端模块）</w:t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面向后端同学 · 接口清单 / 请求参数 / 返回字段结构 / 对接步骤</w:t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19"/>
        </w:rPr>
        <w:t>前端当前使用假数据即可完整运行，你只需按本文实现接口，再回改一处文件即可完成联调。</w:t>
      </w:r>
    </w:p>
    <w:p>
      <w:pPr>
        <w:pBdr>
          <w:bottom w:val="single" w:sz="6" w:space="4" w:color="1f4e4a"/>
        </w:pBdr>
      </w:pPr>
      <w:r>
        <w:rPr>
          <w:rFonts w:ascii="微软雅黑" w:hAnsi="微软雅黑" w:eastAsia="微软雅黑"/>
          <w:b/>
          <w:color w:val="1F4E4A"/>
          <w:sz w:val="30"/>
        </w:rPr>
        <w:t>一、总约定（务必先读）</w:t>
      </w:r>
    </w:p>
    <w:p>
      <w:r>
        <w:rPr>
          <w:rFonts w:ascii="微软雅黑" w:hAnsi="微软雅黑" w:eastAsia="微软雅黑"/>
          <w:b/>
          <w:color w:val="A5372F"/>
          <w:sz w:val="25"/>
        </w:rPr>
        <w:t>1. 统一返回结构</w:t>
      </w:r>
    </w:p>
    <w:p>
      <w:r>
        <w:rPr>
          <w:rFonts w:ascii="微软雅黑" w:hAnsi="微软雅黑" w:eastAsia="微软雅黑"/>
          <w:b w:val="0"/>
          <w:i w:val="0"/>
          <w:sz w:val="21"/>
        </w:rPr>
        <w:t>所有接口的 HTTP 响应体统一包成如下结构（前端响应拦截器 src/api/request.js 依赖此约定）：</w:t>
      </w:r>
    </w:p>
    <w:p>
      <w:pPr>
        <w:shd w:val="clear" w:fill="F2F0EA"/>
      </w:pPr>
      <w:r>
        <w:rPr>
          <w:rFonts w:ascii="Consolas" w:hAnsi="Consolas" w:eastAsia="Consolas"/>
          <w:sz w:val="19"/>
        </w:rPr>
        <w:t>{</w:t>
        <w:br/>
        <w:t xml:space="preserve">  "code": 0,</w:t>
        <w:br/>
        <w:t xml:space="preserve">  "message": "ok",</w:t>
        <w:br/>
        <w:t xml:space="preserve">  "data": { }</w:t>
        <w:br/>
        <w:t>}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code：0 或 200 视为业务成功；其他值前端会弹出 message 提示并按失败处理。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message：提示文案（成功可为 "ok"）。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data：真正的业务数据，下文各表「返回字段」均指 data 内部的结构。</w:t>
      </w:r>
    </w:p>
    <w:p>
      <w:r>
        <w:rPr>
          <w:rFonts w:ascii="微软雅黑" w:hAnsi="微软雅黑" w:eastAsia="微软雅黑"/>
          <w:b/>
          <w:color w:val="A5372F"/>
          <w:sz w:val="25"/>
        </w:rPr>
        <w:t>2. 请求前缀与联调地址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前端所有请求默认带 /api 前缀，开发环境由 Vite 代理转发到后端。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后端地址在 vite.config.js → server.proxy['/api'].target 配置，默认 http://localhost:8080，联调时改成实际地址。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例：前端调用 GET /goods → 实际请求 http://localhost:8080/api/goods。</w:t>
      </w:r>
    </w:p>
    <w:p>
      <w:r>
        <w:rPr>
          <w:rFonts w:ascii="微软雅黑" w:hAnsi="微软雅黑" w:eastAsia="微软雅黑"/>
          <w:b/>
          <w:color w:val="A5372F"/>
          <w:sz w:val="25"/>
        </w:rPr>
        <w:t>3. 鉴权（如需要）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登录 Token 注入位置已在 src/api/request.js 请求拦截器中以 TODO 标出，需要鉴权时启用即可（Authorization: Bearer &lt;token&gt;）。</w:t>
      </w:r>
    </w:p>
    <w:p>
      <w:r>
        <w:rPr>
          <w:rFonts w:ascii="微软雅黑" w:hAnsi="微软雅黑" w:eastAsia="微软雅黑"/>
          <w:b/>
          <w:color w:val="A5372F"/>
          <w:sz w:val="25"/>
        </w:rPr>
        <w:t>4. 字段命名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返回字段名请与下表完全一致（前端页面直接按这些字段名取值）。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字段蓝图可对照 src/mock/goods.js 里的假数据，那就是每个商品对象的标准结构。</w:t>
      </w:r>
    </w:p>
    <w:p>
      <w:pPr>
        <w:pBdr>
          <w:bottom w:val="single" w:sz="6" w:space="4" w:color="1f4e4a"/>
        </w:pBdr>
      </w:pPr>
      <w:r>
        <w:rPr>
          <w:rFonts w:ascii="微软雅黑" w:hAnsi="微软雅黑" w:eastAsia="微软雅黑"/>
          <w:b/>
          <w:color w:val="1F4E4A"/>
          <w:sz w:val="30"/>
        </w:rPr>
        <w:t>二、接口清单（共 5 个）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728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728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前端对接函数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/api/goods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商品列表（筛选+排序+分页）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fetchGoodsList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/api/goods/:id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商品详情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fetchGoodsDetail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/api/goods/:id/related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同类推荐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fetchRelatedGoods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/api/goods/:id/reviews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商品评价列表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fetchGoodsReviews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/api/orders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提交订单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submitOrder</w:t>
            </w:r>
          </w:p>
        </w:tc>
      </w:tr>
    </w:tbl>
    <w:p>
      <w:r>
        <w:rPr>
          <w:rFonts w:ascii="微软雅黑" w:hAnsi="微软雅黑" w:eastAsia="微软雅黑"/>
          <w:b w:val="0"/>
          <w:i/>
          <w:sz w:val="19"/>
        </w:rPr>
        <w:t>以上函数全部位于 src/api/goods.js。</w:t>
      </w:r>
    </w:p>
    <w:p>
      <w:pPr>
        <w:pBdr>
          <w:bottom w:val="single" w:sz="6" w:space="4" w:color="1f4e4a"/>
        </w:pBdr>
      </w:pPr>
      <w:r>
        <w:rPr>
          <w:rFonts w:ascii="微软雅黑" w:hAnsi="微软雅黑" w:eastAsia="微软雅黑"/>
          <w:b/>
          <w:color w:val="1F4E4A"/>
          <w:sz w:val="30"/>
        </w:rPr>
        <w:t>三、接口详细定义</w:t>
      </w:r>
    </w:p>
    <w:p>
      <w:r>
        <w:rPr>
          <w:rFonts w:ascii="微软雅黑" w:hAnsi="微软雅黑" w:eastAsia="微软雅黑"/>
          <w:b/>
          <w:color w:val="A5372F"/>
          <w:sz w:val="25"/>
        </w:rPr>
        <w:t>商品对象结构（Goods，被多个接口复用）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 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器物名称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苗族银冠头饰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ethnic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民族（枚举见文末）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苗族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品类（枚举见文末）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银饰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level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非遗保护等级（枚举见文末）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国家级非遗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origin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产地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贵州·黔东南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price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现价（元）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2680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originalPrice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原价（元，划线价）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3200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sales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销量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stock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库存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specs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string[]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可选规格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["标准款","盛装款"]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brief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简介文案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苗族银饰锻制技艺…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craftsman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匠人信息，见下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cover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封面图 URL（列表卡片用）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图片地址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gallery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string[]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详情页轮播图集 URL 数组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图片地址数组</w:t>
            </w:r>
          </w:p>
        </w:tc>
      </w:tr>
    </w:tbl>
    <w:p>
      <w:r>
        <w:rPr>
          <w:rFonts w:ascii="微软雅黑" w:hAnsi="微软雅黑" w:eastAsia="微软雅黑"/>
          <w:b/>
          <w:i w:val="0"/>
          <w:sz w:val="20"/>
        </w:rPr>
        <w:t>craftsman 匠人对象：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传承人姓名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头衔，如 国家级非遗代表性传承人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years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从艺年数</w:t>
            </w:r>
          </w:p>
        </w:tc>
      </w:tr>
    </w:tbl>
    <w:p>
      <w:r>
        <w:rPr>
          <w:rFonts w:ascii="微软雅黑" w:hAnsi="微软雅黑" w:eastAsia="微软雅黑"/>
          <w:b w:val="0"/>
          <w:i/>
          <w:color w:val="666666"/>
          <w:sz w:val="19"/>
        </w:rPr>
        <w:t>图片说明：前端假数据用的是 SVG 占位图。后端接入后，cover / gallery 请返回真实可访问的图片 URL（或图床/OSS 地址）。</w:t>
      </w:r>
    </w:p>
    <w:p>
      <w:r>
        <w:rPr>
          <w:rFonts w:ascii="微软雅黑" w:hAnsi="微软雅黑" w:eastAsia="微软雅黑"/>
          <w:b/>
          <w:color w:val="A5372F"/>
          <w:sz w:val="25"/>
        </w:rPr>
        <w:t>接口 1 · 商品列表  GET /api/goods</w:t>
      </w:r>
    </w:p>
    <w:p>
      <w:r>
        <w:rPr>
          <w:rFonts w:ascii="微软雅黑" w:hAnsi="微软雅黑" w:eastAsia="微软雅黑"/>
          <w:b/>
          <w:i w:val="0"/>
          <w:sz w:val="20"/>
        </w:rPr>
        <w:t>请求参数（query，全部可选）：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ethnic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按民族筛选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按品类筛选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minPrice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价格下限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maxPrice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价格上限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keyword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关键词（匹配 名称/简介/民族）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sort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default / priceAsc / priceDesc / salesDesc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页码，从 1 起，默认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pageSize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每页条数，默认 8</w:t>
            </w:r>
          </w:p>
        </w:tc>
      </w:tr>
    </w:tbl>
    <w:p>
      <w:r>
        <w:rPr>
          <w:rFonts w:ascii="微软雅黑" w:hAnsi="微软雅黑" w:eastAsia="微软雅黑"/>
          <w:b/>
          <w:i w:val="0"/>
          <w:sz w:val="20"/>
        </w:rPr>
        <w:t>返回 data：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records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Goods[]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当前页商品数组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满足条件的总条数（前端据此算分页）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当前页码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pageSize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每页条数</w:t>
            </w:r>
          </w:p>
        </w:tc>
      </w:tr>
    </w:tbl>
    <w:p>
      <w:pPr>
        <w:shd w:val="clear" w:fill="F2F0EA"/>
      </w:pPr>
      <w:r>
        <w:rPr>
          <w:rFonts w:ascii="Consolas" w:hAnsi="Consolas" w:eastAsia="Consolas"/>
          <w:sz w:val="19"/>
        </w:rPr>
        <w:t>{</w:t>
        <w:br/>
        <w:t xml:space="preserve">  "code": 0, "message": "ok",</w:t>
        <w:br/>
        <w:t xml:space="preserve">  "data": {</w:t>
        <w:br/>
        <w:t xml:space="preserve">    "records": [ { "id": 1, "name": "苗族银冠头饰", "ethnic": "苗族",</w:t>
        <w:br/>
        <w:t xml:space="preserve">                   "category": "银饰", "price": 2680, "...": "..." } ],</w:t>
        <w:br/>
        <w:t xml:space="preserve">    "total": 16, "page": 1, "pageSize": 8</w:t>
        <w:br/>
        <w:t xml:space="preserve">  }</w:t>
        <w:br/>
        <w:t>}</w:t>
      </w:r>
    </w:p>
    <w:p>
      <w:r>
        <w:rPr>
          <w:rFonts w:ascii="微软雅黑" w:hAnsi="微软雅黑" w:eastAsia="微软雅黑"/>
          <w:b/>
          <w:color w:val="A5372F"/>
          <w:sz w:val="25"/>
        </w:rPr>
        <w:t>接口 2 · 商品详情  GET /api/goods/:id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路径参数：id（商品 ID）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返回 data：单个完整 Goods 对象（含 gallery、craftsman）。找不到返回 null 或 code 非成功。</w:t>
      </w:r>
    </w:p>
    <w:p>
      <w:r>
        <w:rPr>
          <w:rFonts w:ascii="微软雅黑" w:hAnsi="微软雅黑" w:eastAsia="微软雅黑"/>
          <w:b/>
          <w:color w:val="A5372F"/>
          <w:sz w:val="25"/>
        </w:rPr>
        <w:t>接口 3 · 同类推荐  GET /api/goods/:id/related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路径参数：id（当前商品 ID）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返回 data：Goods[]（推荐商品数组，建议 4 个；规则：同民族或同品类、排除自身）。</w:t>
      </w:r>
    </w:p>
    <w:p>
      <w:r>
        <w:rPr>
          <w:rFonts w:ascii="微软雅黑" w:hAnsi="微软雅黑" w:eastAsia="微软雅黑"/>
          <w:b/>
          <w:color w:val="A5372F"/>
          <w:sz w:val="25"/>
        </w:rPr>
        <w:t>接口 4 · 商品评价  GET /api/goods/:id/reviews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路径参数：id（商品 ID）</w:t>
      </w:r>
    </w:p>
    <w:p>
      <w:r>
        <w:rPr>
          <w:rFonts w:ascii="微软雅黑" w:hAnsi="微软雅黑" w:eastAsia="微软雅黑"/>
          <w:b w:val="0"/>
          <w:i w:val="0"/>
          <w:sz w:val="20"/>
        </w:rPr>
        <w:t>返回 data：Review[]，单条结构如下：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评价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用户名（脱敏，如 山***客）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rating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评分 1–5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日期 YYYY-MM-DD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评价内容</w:t>
            </w:r>
          </w:p>
        </w:tc>
      </w:tr>
    </w:tbl>
    <w:p>
      <w:r>
        <w:rPr>
          <w:rFonts w:ascii="微软雅黑" w:hAnsi="微软雅黑" w:eastAsia="微软雅黑"/>
          <w:b/>
          <w:color w:val="A5372F"/>
          <w:sz w:val="25"/>
        </w:rPr>
        <w:t>接口 5 · 提交订单  POST /api/orders</w:t>
      </w:r>
    </w:p>
    <w:p>
      <w:r>
        <w:rPr>
          <w:rFonts w:ascii="微软雅黑" w:hAnsi="微软雅黑" w:eastAsia="微软雅黑"/>
          <w:b/>
          <w:i w:val="0"/>
          <w:sz w:val="20"/>
        </w:rPr>
        <w:t>请求体（JSON）：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items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object[]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下单商品条目，单条结构见下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addressId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收货地址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remark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订单备注（可空）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totalAmount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应付总额（元，含运费）</w:t>
            </w:r>
          </w:p>
        </w:tc>
      </w:tr>
    </w:tbl>
    <w:p>
      <w:r>
        <w:rPr>
          <w:rFonts w:ascii="微软雅黑" w:hAnsi="微软雅黑" w:eastAsia="微软雅黑"/>
          <w:b/>
          <w:i w:val="0"/>
          <w:sz w:val="20"/>
        </w:rPr>
        <w:t>items 单条结构：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cover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封面图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ethnic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民族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price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单价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spec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quantity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数量</w:t>
            </w:r>
          </w:p>
        </w:tc>
      </w:tr>
    </w:tbl>
    <w:p>
      <w:r>
        <w:rPr>
          <w:rFonts w:ascii="微软雅黑" w:hAnsi="微软雅黑" w:eastAsia="微软雅黑"/>
          <w:b/>
          <w:i w:val="0"/>
          <w:sz w:val="20"/>
        </w:rPr>
        <w:t>返回 data：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fill="1f4e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orderNo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订单号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订单状态，如 created</w:t>
            </w:r>
          </w:p>
        </w:tc>
      </w:tr>
    </w:tbl>
    <w:p>
      <w:r>
        <w:rPr>
          <w:rFonts w:ascii="微软雅黑" w:hAnsi="微软雅黑" w:eastAsia="微软雅黑"/>
          <w:b w:val="0"/>
          <w:i/>
          <w:color w:val="666666"/>
          <w:sz w:val="19"/>
        </w:rPr>
        <w:t>说明：当前前端提交后仅弹窗提示成功，未接入真实支付。后端接入真实下单/支付后，前端在 CheckoutView.vue 的 onSubmit 中标注了跳转支付的 TODO 位置。收货地址目前是前端 localStorage 存储（src/store/address.js），如需服务端管理地址，可另行新增地址增删改查接口，届时同步前端。</w:t>
      </w:r>
    </w:p>
    <w:p>
      <w:pPr>
        <w:pBdr>
          <w:bottom w:val="single" w:sz="6" w:space="4" w:color="1f4e4a"/>
        </w:pBdr>
      </w:pPr>
      <w:r>
        <w:rPr>
          <w:rFonts w:ascii="微软雅黑" w:hAnsi="微软雅黑" w:eastAsia="微软雅黑"/>
          <w:b/>
          <w:color w:val="1F4E4A"/>
          <w:sz w:val="30"/>
        </w:rPr>
        <w:t>四、对接操作步骤（后端同学照做）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实现接口：按上表在你的服务框架里实现 5 个接口，返回结构套 {code, message, data}，字段名对齐本文。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建表参考：数据库商品表字段对照「商品对象结构」表；可直接参考 src/mock/goods.js 的假数据当样例数据导入。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改前端代理：把 vite.config.js 里 target 改成你的后端地址。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切换前端为真实请求：打开 src/api/goods.js，每个函数做「两行对调」——启用 request.xxx(...) 那行、删掉/注释 mock 返回那行。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联调验证：前端 npm run dev，逐页验证列表、详情、推荐、评价、下单五条链路。页面代码无需改动。</w:t>
      </w:r>
    </w:p>
    <w:p>
      <w:r>
        <w:rPr>
          <w:rFonts w:ascii="微软雅黑" w:hAnsi="微软雅黑" w:eastAsia="微软雅黑"/>
          <w:b/>
          <w:i w:val="0"/>
          <w:sz w:val="20"/>
        </w:rPr>
        <w:t>第 4 步「两行对调」示例：</w:t>
      </w:r>
    </w:p>
    <w:p>
      <w:pPr>
        <w:shd w:val="clear" w:fill="F2F0EA"/>
      </w:pPr>
      <w:r>
        <w:rPr>
          <w:rFonts w:ascii="Consolas" w:hAnsi="Consolas" w:eastAsia="Consolas"/>
          <w:sz w:val="19"/>
        </w:rPr>
        <w:t>export function fetchGoodsDetail(id) {</w:t>
        <w:br/>
        <w:t xml:space="preserve">  return request.get(`/goods/${id}`)      // ← 取消这行注释</w:t>
        <w:br/>
        <w:t xml:space="preserve">  // return mockDelay(findGoodsById(id))   // ← 注释/删除这行</w:t>
        <w:br/>
        <w:t>}</w:t>
      </w:r>
    </w:p>
    <w:p>
      <w:pPr>
        <w:pBdr>
          <w:bottom w:val="single" w:sz="6" w:space="4" w:color="1f4e4a"/>
        </w:pBdr>
      </w:pPr>
      <w:r>
        <w:rPr>
          <w:rFonts w:ascii="微软雅黑" w:hAnsi="微软雅黑" w:eastAsia="微软雅黑"/>
          <w:b/>
          <w:color w:val="1F4E4A"/>
          <w:sz w:val="30"/>
        </w:rPr>
        <w:t>五、枚举值参考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民族 ethnic：苗族、彝族、布依族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品类 category：银饰、蜡染、刺绣、织锦、漆器、陶器、乐器、编织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非遗等级 level：国家级非遗、省级非遗、州/市级非遗</w:t>
      </w:r>
    </w:p>
    <w:p>
      <w:r>
        <w:rPr>
          <w:rFonts w:ascii="微软雅黑" w:hAnsi="微软雅黑" w:eastAsia="微软雅黑"/>
          <w:b w:val="0"/>
          <w:i/>
          <w:sz w:val="19"/>
        </w:rPr>
        <w:t>（枚举定义见 src/mock/goods.js 顶部，如需增改前后端同步即可。）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