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 w:val="0"/>
          <w:i w:val="0"/>
          <w:sz w:val="22"/>
        </w:rPr>
        <w:t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rPr>
          <w:rFonts w:ascii="Arial" w:hAnsi="Arial" w:eastAsia="Arial"/>
          <w:b w:val="0"/>
          <w:i w:val="0"/>
          <w:sz w:val="22"/>
        </w:rPr>
        <w:t>Национальный исследовательский университет ИТМО</w:t>
      </w:r>
    </w:p>
    <w:p>
      <w:pPr>
        <w:jc w:val="center"/>
      </w:pPr>
      <w:r>
        <w:rPr>
          <w:rFonts w:ascii="Arial" w:hAnsi="Arial" w:eastAsia="Arial"/>
          <w:b w:val="0"/>
          <w:i w:val="0"/>
          <w:sz w:val="22"/>
        </w:rPr>
        <w:t>Факультет программной инженерии и компьютерной техники</w:t>
      </w:r>
    </w:p>
    <w:p>
      <w:pPr>
        <w:jc w:val="center"/>
      </w:pPr>
      <w:r>
        <w:rPr>
          <w:rFonts w:ascii="Arial" w:hAnsi="Arial" w:eastAsia="Arial"/>
          <w:b w:val="0"/>
          <w:i w:val="0"/>
          <w:sz w:val="22"/>
        </w:rPr>
        <w:t>Направление подготовки 09.03.04 Программная инженерия</w:t>
      </w:r>
    </w:p>
    <w:p>
      <w:pPr>
        <w:jc w:val="center"/>
      </w:pPr>
      <w:r>
        <w:rPr>
          <w:rFonts w:ascii="Arial" w:hAnsi="Arial" w:eastAsia="Arial"/>
          <w:b w:val="0"/>
          <w:i w:val="0"/>
          <w:sz w:val="22"/>
        </w:rPr>
        <w:t>Дисциплина «Тестирование программного обеспечения»</w:t>
      </w:r>
    </w:p>
    <w:p/>
    <w:p/>
    <w:p/>
    <w:p/>
    <w:p/>
    <w:p>
      <w:pPr>
        <w:jc w:val="center"/>
      </w:pPr>
      <w:r>
        <w:rPr>
          <w:rFonts w:ascii="Arial" w:hAnsi="Arial" w:eastAsia="Arial"/>
          <w:b/>
          <w:i w:val="0"/>
          <w:sz w:val="40"/>
        </w:rPr>
        <w:t>Отчёт</w:t>
      </w:r>
    </w:p>
    <w:p>
      <w:pPr>
        <w:jc w:val="center"/>
      </w:pPr>
      <w:r>
        <w:rPr>
          <w:rFonts w:ascii="Arial" w:hAnsi="Arial" w:eastAsia="Arial"/>
          <w:b/>
          <w:i w:val="0"/>
          <w:sz w:val="36"/>
        </w:rPr>
        <w:t>по лабораторной работе №2</w:t>
      </w:r>
    </w:p>
    <w:p>
      <w:pPr>
        <w:jc w:val="center"/>
      </w:pPr>
      <w:r>
        <w:rPr>
          <w:rFonts w:ascii="Arial" w:hAnsi="Arial" w:eastAsia="Arial"/>
          <w:b/>
          <w:i w:val="0"/>
          <w:sz w:val="28"/>
        </w:rPr>
        <w:t>Вариант 320202</w:t>
      </w:r>
    </w:p>
    <w:p/>
    <w:p/>
    <w:p/>
    <w:p/>
    <w:p>
      <w:pPr>
        <w:jc w:val="right"/>
      </w:pPr>
      <w:r>
        <w:rPr>
          <w:rFonts w:ascii="Arial" w:hAnsi="Arial" w:eastAsia="Arial"/>
          <w:b w:val="0"/>
          <w:i w:val="0"/>
          <w:sz w:val="22"/>
        </w:rPr>
        <w:t>Студент: Бондарев Алексей Михайлович</w:t>
      </w:r>
    </w:p>
    <w:p>
      <w:pPr>
        <w:jc w:val="right"/>
      </w:pPr>
      <w:r>
        <w:rPr>
          <w:rFonts w:ascii="Arial" w:hAnsi="Arial" w:eastAsia="Arial"/>
          <w:b w:val="0"/>
          <w:i w:val="0"/>
          <w:sz w:val="22"/>
        </w:rPr>
        <w:t>Группа: P3312</w:t>
      </w:r>
    </w:p>
    <w:p>
      <w:pPr>
        <w:jc w:val="right"/>
      </w:pPr>
      <w:r>
        <w:rPr>
          <w:rFonts w:ascii="Arial" w:hAnsi="Arial" w:eastAsia="Arial"/>
          <w:b w:val="0"/>
          <w:i w:val="0"/>
          <w:sz w:val="22"/>
        </w:rPr>
        <w:t>Преподаватель: Цю Тяньшэн</w:t>
      </w:r>
    </w:p>
    <w:p/>
    <w:p/>
    <w:p/>
    <w:p/>
    <w:p/>
    <w:p/>
    <w:p/>
    <w:p>
      <w:pPr>
        <w:jc w:val="center"/>
      </w:pPr>
      <w:r>
        <w:rPr>
          <w:rFonts w:ascii="Arial" w:hAnsi="Arial" w:eastAsia="Arial"/>
          <w:b w:val="0"/>
          <w:i w:val="0"/>
          <w:sz w:val="22"/>
        </w:rPr>
        <w:t>Санкт-Петербург, 2026 г.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i w:val="0"/>
          <w:sz w:val="32"/>
        </w:rPr>
        <w:t>Описание задания</w:t>
      </w:r>
    </w:p>
    <w:p>
      <w:r>
        <w:rPr>
          <w:rFonts w:ascii="Arial" w:hAnsi="Arial" w:eastAsia="Arial"/>
          <w:b w:val="0"/>
          <w:i w:val="0"/>
          <w:sz w:val="22"/>
        </w:rPr>
        <w:t>Необходимо провести интеграционное тестирование программы, вычисляющей систему функций в соответствии с вариантом 320202. Все небазовые функции должны быть выражены через базовые функции, а базовые функции sin(x) и ln(x) реализованы при помощи разложения в ряд с задаваемой погрешностью.</w:t>
      </w:r>
    </w:p>
    <w:p>
      <w:r>
        <w:rPr>
          <w:rFonts w:ascii="Courier New" w:hAnsi="Courier New" w:eastAsia="Courier New"/>
          <w:sz w:val="18"/>
        </w:rPr>
        <w:t>x &lt;= 0 : ((((sin(x) * cot(x)) ^ 2) / (sec(x) / csc(x))) + cot(x))</w:t>
      </w:r>
    </w:p>
    <w:p>
      <w:r>
        <w:rPr>
          <w:rFonts w:ascii="Courier New" w:hAnsi="Courier New" w:eastAsia="Courier New"/>
          <w:sz w:val="18"/>
        </w:rPr>
        <w:t>x &gt; 0  : (((((ln(x) / ln(x)) - ln(x)) ^ 3) - log_10(x)) ^ 2)</w:t>
      </w:r>
    </w:p>
    <w:p>
      <w:r>
        <w:rPr>
          <w:rFonts w:ascii="Arial" w:hAnsi="Arial" w:eastAsia="Arial"/>
          <w:b w:val="0"/>
          <w:i w:val="0"/>
          <w:sz w:val="22"/>
        </w:rPr>
        <w:t>Дополнительное задание: провести latency benchmarking системы функций при многократном вызове с разной точностью, построить графики median, p90 и p99 latency с ростом точности.</w:t>
      </w:r>
    </w:p>
    <w:p>
      <w:pPr>
        <w:pStyle w:val="Heading1"/>
      </w:pPr>
      <w:r>
        <w:rPr>
          <w:rFonts w:ascii="Arial" w:hAnsi="Arial" w:eastAsia="Arial"/>
          <w:b/>
          <w:i w:val="0"/>
          <w:sz w:val="32"/>
        </w:rPr>
        <w:t>Структура приложения</w:t>
      </w:r>
    </w:p>
    <w:p>
      <w:r>
        <w:rPr>
          <w:rFonts w:ascii="Arial" w:hAnsi="Arial" w:eastAsia="Arial"/>
          <w:b w:val="0"/>
          <w:i w:val="0"/>
          <w:sz w:val="22"/>
        </w:rPr>
        <w:t>Проект второй лабораторной работы реализован в Gradle-модуле lab2. Модули task1, task2 и task3 относятся к лабораторной работе №1 и в рамках данного отчёта не изменялись.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api - интерфейсы вычислительных модулей: SinModule, LnModule, Log10Module, SystemFunctionModule и другие.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series - реализации базовых функций SinSeries и LnSeries через степенные ряды.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impl - реальные реализации производных функций и итоговой системы.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stub - табличные заглушки на основе Table1D для пошаговой интеграции.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csv - CsvExporter для выгрузки X;Y любого модуля.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benchmark - генератор отчётных CSV/SVG по результатам JMH latency benchmark.</w:t>
      </w:r>
    </w:p>
    <w:p>
      <w:r>
        <w:rPr>
          <w:rFonts w:ascii="Arial" w:hAnsi="Arial" w:eastAsia="Arial"/>
          <w:b w:val="0"/>
          <w:i w:val="0"/>
          <w:sz w:val="22"/>
        </w:rPr>
        <w:t>Исходный код: локальный проект /Users/alexb/Downloads/lab1_variant_111300 2, модуль lab2.</w:t>
      </w:r>
    </w:p>
    <w:p>
      <w:pPr>
        <w:pStyle w:val="Heading1"/>
      </w:pPr>
      <w:r>
        <w:rPr>
          <w:rFonts w:ascii="Arial" w:hAnsi="Arial" w:eastAsia="Arial"/>
          <w:b/>
          <w:i w:val="0"/>
          <w:sz w:val="32"/>
        </w:rPr>
        <w:t>UML-диаграмма классов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i w:val="0"/>
          <w:sz w:val="32"/>
        </w:rPr>
        <w:t>Стратегия интеграции</w:t>
      </w:r>
    </w:p>
    <w:p>
      <w:r>
        <w:rPr>
          <w:rFonts w:ascii="Arial" w:hAnsi="Arial" w:eastAsia="Arial"/>
          <w:b w:val="0"/>
          <w:i w:val="0"/>
          <w:sz w:val="22"/>
        </w:rPr>
        <w:t>Использовалась восходящая стратегия интеграции: сначала проверяются базовые ряды, затем производные модули, затем итоговая система функций. Для изоляции зависимостей применяются табличные заглушки, построенные на Table1D.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Шаг 1: все зависимости представлены заглушками, проверяется арифметика Variant320202.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Шаг 2: интегрируются SinSeries и LnSeries, проверяется точность относительно Math.sin и Math.log.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Шаг 3: интегрируются cos, tg, cot, sec, csc через sin/cos и проверяются сингулярности.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Шаг 4: интегрируется log10 через ln.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Шаг 5: интегрируется RealSystemFunction и выполняются тесты классов эквивалентности для всей системы.</w:t>
      </w:r>
    </w:p>
    <w:p>
      <w:pPr>
        <w:pStyle w:val="Heading1"/>
      </w:pPr>
      <w:r>
        <w:rPr>
          <w:rFonts w:ascii="Arial" w:hAnsi="Arial" w:eastAsia="Arial"/>
          <w:b/>
          <w:i w:val="0"/>
          <w:sz w:val="32"/>
        </w:rPr>
        <w:t>Тестовое покрытие</w:t>
      </w:r>
    </w:p>
    <w:p>
      <w:r>
        <w:rPr>
          <w:rFonts w:ascii="Arial" w:hAnsi="Arial" w:eastAsia="Arial"/>
          <w:b w:val="0"/>
          <w:i w:val="0"/>
          <w:sz w:val="22"/>
        </w:rPr>
        <w:t>Тестовое покрытие разработано с учётом анализа эквивалентности, граничных значений и особенностей предметной системы функций.</w:t>
      </w:r>
    </w:p>
    <w:p>
      <w:pPr>
        <w:pStyle w:val="Heading2"/>
      </w:pPr>
      <w:r>
        <w:rPr>
          <w:rFonts w:ascii="Arial" w:hAnsi="Arial" w:eastAsia="Arial"/>
          <w:b/>
          <w:i w:val="0"/>
          <w:sz w:val="26"/>
        </w:rPr>
        <w:t>Базовые функции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SinSeries: ноль, положительные и отрицательные значения, редукция аргумента, большие значения, нечисловые аргументы.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LnSeries: x &gt; 0, значения меньше 1, x = 1, x = 2, большие значения, недопустимые x &lt;= 0.</w:t>
      </w:r>
    </w:p>
    <w:p>
      <w:pPr>
        <w:pStyle w:val="Heading2"/>
      </w:pPr>
      <w:r>
        <w:rPr>
          <w:rFonts w:ascii="Arial" w:hAnsi="Arial" w:eastAsia="Arial"/>
          <w:b/>
          <w:i w:val="0"/>
          <w:sz w:val="26"/>
        </w:rPr>
        <w:t>Производные функции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cos зависит от sin и проверяется как sin(x + π/2).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cot и csc не определены при sin(x) близком к нулю.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tg и sec не определены при cos(x) близком к нулю.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log10 вычисляется через ln(x) / ln(10).</w:t>
      </w:r>
    </w:p>
    <w:p>
      <w:pPr>
        <w:pStyle w:val="Heading2"/>
      </w:pPr>
      <w:r>
        <w:rPr>
          <w:rFonts w:ascii="Arial" w:hAnsi="Arial" w:eastAsia="Arial"/>
          <w:b/>
          <w:i w:val="0"/>
          <w:sz w:val="26"/>
        </w:rPr>
        <w:t>Итоговая система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Для x &lt;= 0 проверяется тригонометрическая ветвь и её сингулярности: x = 0, x = -π, x = -π/2.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Для x &gt; 0 проверяется логарифмическая ветвь, включая недопустимую точку x = 1 из-за ln(x) в знаменателе.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Проверяются обычные рабочие точки, например x = 0.25, 0.41, 0.44.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2"/>
        </w:rPr>
        <w:t>Отдельно проверены CsvExporter, Table1D, все Stub*Module и генератор latency-графиков.</w:t>
      </w:r>
    </w:p>
    <w:p>
      <w:pPr>
        <w:pStyle w:val="Heading1"/>
      </w:pPr>
      <w:r>
        <w:rPr>
          <w:rFonts w:ascii="Arial" w:hAnsi="Arial" w:eastAsia="Arial"/>
          <w:b/>
          <w:i w:val="0"/>
          <w:sz w:val="32"/>
        </w:rPr>
        <w:t>Результаты тестирования</w:t>
      </w:r>
    </w:p>
    <w:p>
      <w:r>
        <w:drawing>
          <wp:inline xmlns:a="http://schemas.openxmlformats.org/drawingml/2006/main" xmlns:pic="http://schemas.openxmlformats.org/drawingml/2006/picture">
            <wp:extent cx="6126480" cy="1677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7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b w:val="0"/>
          <w:i w:val="0"/>
          <w:sz w:val="22"/>
        </w:rPr>
        <w:t>Итого по модулю lab2: 26 тестов, 0 failures, 0 errors, 0 skipped. Общий JaCoCo instruction coverage по lab2 - около 90%, branch coverage - около 76%. Пакеты csv, series и variant покрыты на 100% по инструкциям, пакет stub - около 93%.</w:t>
      </w:r>
    </w:p>
    <w:p>
      <w:r>
        <w:rPr>
          <w:rFonts w:ascii="Courier New" w:hAnsi="Courier New" w:eastAsia="Courier New"/>
          <w:sz w:val="18"/>
        </w:rPr>
        <w:t>./gradlew :lab2:test --console=plain</w:t>
      </w:r>
    </w:p>
    <w:p>
      <w:pPr>
        <w:pStyle w:val="Heading1"/>
      </w:pPr>
      <w:r>
        <w:rPr>
          <w:rFonts w:ascii="Arial" w:hAnsi="Arial" w:eastAsia="Arial"/>
          <w:b/>
          <w:i w:val="0"/>
          <w:sz w:val="32"/>
        </w:rPr>
        <w:t>CSV-выгрузка</w:t>
      </w:r>
    </w:p>
    <w:p>
      <w:r>
        <w:rPr>
          <w:rFonts w:ascii="Arial" w:hAnsi="Arial" w:eastAsia="Arial"/>
          <w:b w:val="0"/>
          <w:i w:val="0"/>
          <w:sz w:val="22"/>
        </w:rPr>
        <w:t>Приложение позволяет выгружать значения любого модуля в CSV формата X;Y. Выбор модуля выполняется первым аргументом: SIN, COS, TG, COT, SEC, CSC, LN, LOG10 или SYSTEM. При попадании в точку, где модуль не определён, в CSV записывается NaN, что позволяет строить графики с разрывами.</w:t>
      </w:r>
    </w:p>
    <w:p>
      <w:r>
        <w:rPr>
          <w:rFonts w:ascii="Courier New" w:hAnsi="Courier New" w:eastAsia="Courier New"/>
          <w:sz w:val="18"/>
        </w:rPr>
        <w:t>./gradlew :lab2:run --args="SYSTEM 0.1 2.0 0.1 1e-12 50000 output.csv"</w:t>
      </w:r>
    </w:p>
    <w:p>
      <w:pPr>
        <w:pStyle w:val="Heading1"/>
      </w:pPr>
      <w:r>
        <w:rPr>
          <w:rFonts w:ascii="Arial" w:hAnsi="Arial" w:eastAsia="Arial"/>
          <w:b/>
          <w:i w:val="0"/>
          <w:sz w:val="32"/>
        </w:rPr>
        <w:t>Latency benchmarking</w:t>
      </w:r>
    </w:p>
    <w:p>
      <w:r>
        <w:rPr>
          <w:rFonts w:ascii="Arial" w:hAnsi="Arial" w:eastAsia="Arial"/>
          <w:b w:val="0"/>
          <w:i w:val="0"/>
          <w:sz w:val="22"/>
        </w:rPr>
        <w:t>Для дополнительного задания использован JMH в режиме SampleTime. Бенчмарк многократно вызывает SystemFunctionModule.system(x) для x = 0.37 при разных значениях epsilon и maxTerms. Результат сохраняется в lab2/build/reports/jmh/latency.csv, затем генератор строит сводку и графики median, p90 и p99.</w:t>
      </w:r>
    </w:p>
    <w:p>
      <w:r>
        <w:rPr>
          <w:rFonts w:ascii="Courier New" w:hAnsi="Courier New" w:eastAsia="Courier New"/>
          <w:sz w:val="18"/>
        </w:rPr>
        <w:t>./gradlew :lab2:generateLatencyPlots --console=plain</w:t>
      </w:r>
    </w:p>
    <w:p>
      <w:r>
        <w:rPr>
          <w:rFonts w:ascii="Arial" w:hAnsi="Arial" w:eastAsia="Arial"/>
          <w:b w:val="0"/>
          <w:i w:val="0"/>
          <w:sz w:val="22"/>
        </w:rPr>
        <w:t>Параметры бенчмарка: epsilon = 1e-4, 1e-8, 1e-12, 1e-14; maxTerms = 500, 5000, 20000; warmup = 2 итерации по 1 секунде; measurement = 3 итерации по 1 секунде; fork = 1.</w:t>
      </w:r>
    </w:p>
    <w:p>
      <w:pPr>
        <w:pStyle w:val="Heading2"/>
      </w:pPr>
      <w:r>
        <w:rPr>
          <w:rFonts w:ascii="Arial" w:hAnsi="Arial" w:eastAsia="Arial"/>
          <w:b/>
          <w:i w:val="0"/>
          <w:sz w:val="26"/>
        </w:rPr>
        <w:t>Сводная таблица latency</w:t>
      </w:r>
    </w:p>
    <w:p>
      <w:r>
        <w:drawing>
          <wp:inline xmlns:a="http://schemas.openxmlformats.org/drawingml/2006/main" xmlns:pic="http://schemas.openxmlformats.org/drawingml/2006/picture">
            <wp:extent cx="5669280" cy="3965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5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 w:eastAsia="Arial"/>
          <w:b/>
          <w:i w:val="0"/>
          <w:sz w:val="26"/>
        </w:rPr>
        <w:t>Графики latency</w:t>
      </w:r>
    </w:p>
    <w:p>
      <w:r>
        <w:drawing>
          <wp:inline xmlns:a="http://schemas.openxmlformats.org/drawingml/2006/main" xmlns:pic="http://schemas.openxmlformats.org/drawingml/2006/picture">
            <wp:extent cx="6126480" cy="3471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medi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sz w:val="22"/>
        </w:rPr>
        <w:t>Median latency</w:t>
      </w:r>
    </w:p>
    <w:p>
      <w:r>
        <w:drawing>
          <wp:inline xmlns:a="http://schemas.openxmlformats.org/drawingml/2006/main" xmlns:pic="http://schemas.openxmlformats.org/drawingml/2006/picture">
            <wp:extent cx="6126480" cy="34716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p9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sz w:val="22"/>
        </w:rPr>
        <w:t>P90 latency</w:t>
      </w:r>
    </w:p>
    <w:p>
      <w:r>
        <w:drawing>
          <wp:inline xmlns:a="http://schemas.openxmlformats.org/drawingml/2006/main" xmlns:pic="http://schemas.openxmlformats.org/drawingml/2006/picture">
            <wp:extent cx="6126480" cy="34716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p9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sz w:val="22"/>
        </w:rPr>
        <w:t>P99 latency</w:t>
      </w:r>
    </w:p>
    <w:p>
      <w:pPr>
        <w:pStyle w:val="Heading1"/>
      </w:pPr>
      <w:r>
        <w:rPr>
          <w:rFonts w:ascii="Arial" w:hAnsi="Arial" w:eastAsia="Arial"/>
          <w:b/>
          <w:i w:val="0"/>
          <w:sz w:val="32"/>
        </w:rPr>
        <w:t>Выводы</w:t>
      </w:r>
    </w:p>
    <w:p>
      <w:r>
        <w:rPr>
          <w:rFonts w:ascii="Arial" w:hAnsi="Arial" w:eastAsia="Arial"/>
          <w:b w:val="0"/>
          <w:i w:val="0"/>
          <w:sz w:val="22"/>
        </w:rPr>
        <w:t>В ходе работы была реализована и протестирована система функций варианта 320202. Базовые функции sin(x) и ln(x) вычисляются через ряды с параметризуемой точностью, производные тригонометрические и логарифмические функции построены через базовые модули, а итоговая система собрана через интерфейсы и может работать как с реальными реализациями, так и с табличными заглушками.</w:t>
      </w:r>
    </w:p>
    <w:p>
      <w:r>
        <w:rPr>
          <w:rFonts w:ascii="Arial" w:hAnsi="Arial" w:eastAsia="Arial"/>
          <w:b w:val="0"/>
          <w:i w:val="0"/>
          <w:sz w:val="22"/>
        </w:rPr>
        <w:t>Интеграционное тестирование подтвердило корректность пошаговой сборки модулей и обработку особых точек. Дополнительные тесты закрывают CSV-выгрузку, заглушки и генерацию отчётных материалов для бенчмарка. Latency benchmarking показал ожидаемый рост задержки при ужесточении точности: p50/p90/p99 увеличиваются при переходе от epsilon = 1e-4 к 1e-14, при этом влияние maxTerms ограничено ранней остановкой рядов по epsilon.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