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DCD6D" w14:textId="77777777" w:rsidR="00893AB7" w:rsidRDefault="005B2DD9" w:rsidP="007929BB">
      <w:pPr>
        <w:pStyle w:val="DocumentTitle"/>
        <w:ind w:right="0"/>
      </w:pPr>
      <w:r>
        <w:rPr>
          <w:noProof/>
        </w:rPr>
        <w:t xml:space="preserve">Open </w:t>
      </w:r>
      <w:r w:rsidR="003D7EBC">
        <w:rPr>
          <w:noProof/>
        </w:rPr>
        <w:t>Edu Analytics</w:t>
      </w:r>
      <w:r w:rsidR="00967491">
        <w:t xml:space="preserve"> </w:t>
      </w:r>
    </w:p>
    <w:p w14:paraId="46A9DB3C" w14:textId="297970EC" w:rsidR="004447D4" w:rsidRPr="006B2E24" w:rsidRDefault="00893AB7" w:rsidP="007929BB">
      <w:pPr>
        <w:pStyle w:val="DocumentTitle"/>
        <w:ind w:right="0"/>
      </w:pPr>
      <w:r>
        <w:t>Solution</w:t>
      </w:r>
      <w:r w:rsidR="00967491">
        <w:t xml:space="preserve"> Guide</w:t>
      </w:r>
    </w:p>
    <w:p w14:paraId="7D4C6236" w14:textId="77777777" w:rsidR="00A32ECC" w:rsidRDefault="00A32ECC" w:rsidP="00DF4958"/>
    <w:p w14:paraId="7660B484" w14:textId="77777777" w:rsidR="00AD5C07" w:rsidRDefault="00AD5C07" w:rsidP="00DF4958"/>
    <w:p w14:paraId="76FA1261" w14:textId="0ACC6E9E" w:rsidR="00A32ECC" w:rsidRDefault="00A32ECC" w:rsidP="00DF4958">
      <w:r>
        <w:t xml:space="preserve">Published: </w:t>
      </w:r>
      <w:r w:rsidR="00E13C73">
        <w:t>November</w:t>
      </w:r>
      <w:r w:rsidR="00967491">
        <w:t>, 2020</w:t>
      </w:r>
    </w:p>
    <w:p w14:paraId="432D2602" w14:textId="3617F9E3" w:rsidR="003D7EBC" w:rsidRDefault="003D7EBC" w:rsidP="00DF4958"/>
    <w:p w14:paraId="50DA472A" w14:textId="60E8FDF5" w:rsidR="003D7EBC" w:rsidRDefault="003D7EBC" w:rsidP="00DF4958"/>
    <w:p w14:paraId="656388D4" w14:textId="36850B47" w:rsidR="003D7EBC" w:rsidRDefault="003D7EBC" w:rsidP="00DF4958"/>
    <w:p w14:paraId="290E699A" w14:textId="28F60560" w:rsidR="003D7EBC" w:rsidRDefault="003D7EBC" w:rsidP="00DF4958"/>
    <w:p w14:paraId="0138F1D8" w14:textId="77777777" w:rsidR="003D7EBC" w:rsidRDefault="003D7EBC" w:rsidP="00DF4958"/>
    <w:p w14:paraId="4CCAA675" w14:textId="75D64B19" w:rsidR="00B85670" w:rsidRDefault="00B85670" w:rsidP="00DF4958"/>
    <w:p w14:paraId="646B1445" w14:textId="4055CC87" w:rsidR="00003C47" w:rsidRDefault="005348A2">
      <w:pPr>
        <w:pStyle w:val="TOC1"/>
        <w:rPr>
          <w:rFonts w:asciiTheme="minorHAnsi" w:eastAsiaTheme="minorEastAsia" w:hAnsiTheme="minorHAnsi"/>
          <w:noProof/>
          <w:sz w:val="22"/>
        </w:rPr>
      </w:pPr>
      <w:r w:rsidRPr="003A5BE9">
        <w:rPr>
          <w:highlight w:val="yellow"/>
        </w:rPr>
        <w:fldChar w:fldCharType="begin"/>
      </w:r>
      <w:r w:rsidR="001C4E58" w:rsidRPr="003A5BE9">
        <w:rPr>
          <w:highlight w:val="yellow"/>
        </w:rPr>
        <w:instrText xml:space="preserve"> TOC \o "1-2" \h \z \u </w:instrText>
      </w:r>
      <w:r w:rsidRPr="003A5BE9">
        <w:rPr>
          <w:highlight w:val="yellow"/>
        </w:rPr>
        <w:fldChar w:fldCharType="separate"/>
      </w:r>
      <w:hyperlink w:anchor="_Toc57734325" w:history="1">
        <w:r w:rsidR="00003C47" w:rsidRPr="000D77EB">
          <w:rPr>
            <w:rStyle w:val="Hyperlink"/>
            <w:noProof/>
          </w:rPr>
          <w:t>Introduction</w:t>
        </w:r>
        <w:r w:rsidR="00003C47">
          <w:rPr>
            <w:noProof/>
            <w:webHidden/>
          </w:rPr>
          <w:tab/>
        </w:r>
        <w:r w:rsidR="00003C47">
          <w:rPr>
            <w:noProof/>
            <w:webHidden/>
          </w:rPr>
          <w:fldChar w:fldCharType="begin"/>
        </w:r>
        <w:r w:rsidR="00003C47">
          <w:rPr>
            <w:noProof/>
            <w:webHidden/>
          </w:rPr>
          <w:instrText xml:space="preserve"> PAGEREF _Toc57734325 \h </w:instrText>
        </w:r>
        <w:r w:rsidR="00003C47">
          <w:rPr>
            <w:noProof/>
            <w:webHidden/>
          </w:rPr>
        </w:r>
        <w:r w:rsidR="00003C47">
          <w:rPr>
            <w:noProof/>
            <w:webHidden/>
          </w:rPr>
          <w:fldChar w:fldCharType="separate"/>
        </w:r>
        <w:r w:rsidR="00003C47">
          <w:rPr>
            <w:noProof/>
            <w:webHidden/>
          </w:rPr>
          <w:t>1</w:t>
        </w:r>
        <w:r w:rsidR="00003C47">
          <w:rPr>
            <w:noProof/>
            <w:webHidden/>
          </w:rPr>
          <w:fldChar w:fldCharType="end"/>
        </w:r>
      </w:hyperlink>
    </w:p>
    <w:p w14:paraId="7AF59353" w14:textId="3E50455E" w:rsidR="00003C47" w:rsidRDefault="00B7709B">
      <w:pPr>
        <w:pStyle w:val="TOC1"/>
        <w:rPr>
          <w:rFonts w:asciiTheme="minorHAnsi" w:eastAsiaTheme="minorEastAsia" w:hAnsiTheme="minorHAnsi"/>
          <w:noProof/>
          <w:sz w:val="22"/>
        </w:rPr>
      </w:pPr>
      <w:hyperlink w:anchor="_Toc57734326" w:history="1">
        <w:r w:rsidR="00003C47" w:rsidRPr="000D77EB">
          <w:rPr>
            <w:rStyle w:val="Hyperlink"/>
            <w:noProof/>
          </w:rPr>
          <w:t>1) Setup of base architecture</w:t>
        </w:r>
        <w:r w:rsidR="00003C47">
          <w:rPr>
            <w:noProof/>
            <w:webHidden/>
          </w:rPr>
          <w:tab/>
        </w:r>
        <w:r w:rsidR="00003C47">
          <w:rPr>
            <w:noProof/>
            <w:webHidden/>
          </w:rPr>
          <w:fldChar w:fldCharType="begin"/>
        </w:r>
        <w:r w:rsidR="00003C47">
          <w:rPr>
            <w:noProof/>
            <w:webHidden/>
          </w:rPr>
          <w:instrText xml:space="preserve"> PAGEREF _Toc57734326 \h </w:instrText>
        </w:r>
        <w:r w:rsidR="00003C47">
          <w:rPr>
            <w:noProof/>
            <w:webHidden/>
          </w:rPr>
        </w:r>
        <w:r w:rsidR="00003C47">
          <w:rPr>
            <w:noProof/>
            <w:webHidden/>
          </w:rPr>
          <w:fldChar w:fldCharType="separate"/>
        </w:r>
        <w:r w:rsidR="00003C47">
          <w:rPr>
            <w:noProof/>
            <w:webHidden/>
          </w:rPr>
          <w:t>2</w:t>
        </w:r>
        <w:r w:rsidR="00003C47">
          <w:rPr>
            <w:noProof/>
            <w:webHidden/>
          </w:rPr>
          <w:fldChar w:fldCharType="end"/>
        </w:r>
      </w:hyperlink>
    </w:p>
    <w:p w14:paraId="3A21C573" w14:textId="6F4C4CB7" w:rsidR="00003C47" w:rsidRDefault="00B7709B">
      <w:pPr>
        <w:pStyle w:val="TOC1"/>
        <w:rPr>
          <w:rFonts w:asciiTheme="minorHAnsi" w:eastAsiaTheme="minorEastAsia" w:hAnsiTheme="minorHAnsi"/>
          <w:noProof/>
          <w:sz w:val="22"/>
        </w:rPr>
      </w:pPr>
      <w:hyperlink w:anchor="_Toc57734327" w:history="1">
        <w:r w:rsidR="00003C47" w:rsidRPr="000D77EB">
          <w:rPr>
            <w:rStyle w:val="Hyperlink"/>
            <w:noProof/>
          </w:rPr>
          <w:t>2) Setup of modules and/or packages</w:t>
        </w:r>
        <w:r w:rsidR="00003C47">
          <w:rPr>
            <w:noProof/>
            <w:webHidden/>
          </w:rPr>
          <w:tab/>
        </w:r>
        <w:r w:rsidR="00003C47">
          <w:rPr>
            <w:noProof/>
            <w:webHidden/>
          </w:rPr>
          <w:fldChar w:fldCharType="begin"/>
        </w:r>
        <w:r w:rsidR="00003C47">
          <w:rPr>
            <w:noProof/>
            <w:webHidden/>
          </w:rPr>
          <w:instrText xml:space="preserve"> PAGEREF _Toc57734327 \h </w:instrText>
        </w:r>
        <w:r w:rsidR="00003C47">
          <w:rPr>
            <w:noProof/>
            <w:webHidden/>
          </w:rPr>
        </w:r>
        <w:r w:rsidR="00003C47">
          <w:rPr>
            <w:noProof/>
            <w:webHidden/>
          </w:rPr>
          <w:fldChar w:fldCharType="separate"/>
        </w:r>
        <w:r w:rsidR="00003C47">
          <w:rPr>
            <w:noProof/>
            <w:webHidden/>
          </w:rPr>
          <w:t>4</w:t>
        </w:r>
        <w:r w:rsidR="00003C47">
          <w:rPr>
            <w:noProof/>
            <w:webHidden/>
          </w:rPr>
          <w:fldChar w:fldCharType="end"/>
        </w:r>
      </w:hyperlink>
    </w:p>
    <w:p w14:paraId="3CA08EA4" w14:textId="343F9852" w:rsidR="00003C47" w:rsidRDefault="00B7709B">
      <w:pPr>
        <w:pStyle w:val="TOC1"/>
        <w:rPr>
          <w:rFonts w:asciiTheme="minorHAnsi" w:eastAsiaTheme="minorEastAsia" w:hAnsiTheme="minorHAnsi"/>
          <w:noProof/>
          <w:sz w:val="22"/>
        </w:rPr>
      </w:pPr>
      <w:hyperlink w:anchor="_Toc57734328" w:history="1">
        <w:r w:rsidR="00003C47" w:rsidRPr="000D77EB">
          <w:rPr>
            <w:rStyle w:val="Hyperlink"/>
            <w:noProof/>
          </w:rPr>
          <w:t>3) Connect Power BI workspace</w:t>
        </w:r>
        <w:r w:rsidR="00003C47">
          <w:rPr>
            <w:noProof/>
            <w:webHidden/>
          </w:rPr>
          <w:tab/>
        </w:r>
        <w:r w:rsidR="00003C47">
          <w:rPr>
            <w:noProof/>
            <w:webHidden/>
          </w:rPr>
          <w:fldChar w:fldCharType="begin"/>
        </w:r>
        <w:r w:rsidR="00003C47">
          <w:rPr>
            <w:noProof/>
            <w:webHidden/>
          </w:rPr>
          <w:instrText xml:space="preserve"> PAGEREF _Toc57734328 \h </w:instrText>
        </w:r>
        <w:r w:rsidR="00003C47">
          <w:rPr>
            <w:noProof/>
            <w:webHidden/>
          </w:rPr>
        </w:r>
        <w:r w:rsidR="00003C47">
          <w:rPr>
            <w:noProof/>
            <w:webHidden/>
          </w:rPr>
          <w:fldChar w:fldCharType="separate"/>
        </w:r>
        <w:r w:rsidR="00003C47">
          <w:rPr>
            <w:noProof/>
            <w:webHidden/>
          </w:rPr>
          <w:t>4</w:t>
        </w:r>
        <w:r w:rsidR="00003C47">
          <w:rPr>
            <w:noProof/>
            <w:webHidden/>
          </w:rPr>
          <w:fldChar w:fldCharType="end"/>
        </w:r>
      </w:hyperlink>
    </w:p>
    <w:p w14:paraId="3C6DF1C6" w14:textId="768CF674" w:rsidR="00AD5C07" w:rsidRDefault="005348A2" w:rsidP="006B2E24">
      <w:pPr>
        <w:pStyle w:val="TOC1"/>
      </w:pPr>
      <w:r w:rsidRPr="003A5BE9">
        <w:rPr>
          <w:highlight w:val="yellow"/>
        </w:rPr>
        <w:fldChar w:fldCharType="end"/>
      </w:r>
    </w:p>
    <w:p w14:paraId="60E1067B" w14:textId="77777777" w:rsidR="00C20D99" w:rsidRPr="00C20D99" w:rsidRDefault="00C20D99" w:rsidP="00C20D99"/>
    <w:p w14:paraId="33C27673" w14:textId="77777777" w:rsidR="00AD5C07" w:rsidRDefault="00AD5C07" w:rsidP="00DF4958"/>
    <w:p w14:paraId="4646E47B" w14:textId="5C7A4850" w:rsidR="00B85670" w:rsidRDefault="008408BD" w:rsidP="00DF4958">
      <w:pPr>
        <w:sectPr w:rsidR="00B85670" w:rsidSect="007929BB">
          <w:footerReference w:type="default" r:id="rId11"/>
          <w:headerReference w:type="first" r:id="rId12"/>
          <w:pgSz w:w="12240" w:h="15840" w:code="1"/>
          <w:pgMar w:top="720" w:right="720" w:bottom="720" w:left="720" w:header="720" w:footer="720" w:gutter="0"/>
          <w:cols w:space="720"/>
          <w:titlePg/>
          <w:docGrid w:linePitch="360"/>
        </w:sectPr>
      </w:pPr>
      <w:r>
        <w:softHyphen/>
      </w:r>
      <w:r>
        <w:softHyphen/>
      </w:r>
    </w:p>
    <w:tbl>
      <w:tblPr>
        <w:tblStyle w:val="TableGrid"/>
        <w:tblW w:w="10800" w:type="dxa"/>
        <w:tblLayout w:type="fixed"/>
        <w:tblLook w:val="04A0" w:firstRow="1" w:lastRow="0" w:firstColumn="1" w:lastColumn="0" w:noHBand="0" w:noVBand="1"/>
      </w:tblPr>
      <w:tblGrid>
        <w:gridCol w:w="10800"/>
      </w:tblGrid>
      <w:tr w:rsidR="00F00E9F" w14:paraId="3AB7EC04" w14:textId="77777777" w:rsidTr="007929BB">
        <w:trPr>
          <w:trHeight w:hRule="exact" w:val="893"/>
        </w:trPr>
        <w:tc>
          <w:tcPr>
            <w:tcW w:w="10800" w:type="dxa"/>
          </w:tcPr>
          <w:p w14:paraId="28B82032" w14:textId="77777777" w:rsidR="00F00E9F" w:rsidRPr="00C41B6F" w:rsidRDefault="00F00E9F" w:rsidP="007929BB">
            <w:pPr>
              <w:pStyle w:val="Heading1"/>
              <w:ind w:right="-3750"/>
              <w:outlineLvl w:val="0"/>
            </w:pPr>
            <w:bookmarkStart w:id="0" w:name="_Toc57734325"/>
            <w:r w:rsidRPr="00C41B6F">
              <w:lastRenderedPageBreak/>
              <w:t>Introduction</w:t>
            </w:r>
            <w:bookmarkEnd w:id="0"/>
          </w:p>
        </w:tc>
      </w:tr>
      <w:tr w:rsidR="00F00E9F" w14:paraId="641BD427" w14:textId="77777777" w:rsidTr="007929BB">
        <w:trPr>
          <w:trHeight w:val="2520"/>
        </w:trPr>
        <w:tc>
          <w:tcPr>
            <w:tcW w:w="10800" w:type="dxa"/>
          </w:tcPr>
          <w:p w14:paraId="7B52AE95" w14:textId="0BB83566" w:rsidR="003D7EBC" w:rsidRDefault="003D7EBC" w:rsidP="003D7EBC">
            <w:pPr>
              <w:rPr>
                <w:rFonts w:cs="Segoe UI"/>
              </w:rPr>
            </w:pPr>
            <w:r w:rsidRPr="00AD1AEA">
              <w:rPr>
                <w:rFonts w:cs="Segoe UI"/>
              </w:rPr>
              <w:t xml:space="preserve">This document provides step by step </w:t>
            </w:r>
            <w:r w:rsidR="0057316E">
              <w:rPr>
                <w:rFonts w:cs="Segoe UI"/>
              </w:rPr>
              <w:t xml:space="preserve">instructions for the </w:t>
            </w:r>
            <w:r w:rsidRPr="00AD1AEA">
              <w:rPr>
                <w:rFonts w:cs="Segoe UI"/>
              </w:rPr>
              <w:t xml:space="preserve">setup of the Open </w:t>
            </w:r>
            <w:r w:rsidR="00723D76">
              <w:rPr>
                <w:rFonts w:cs="Segoe UI"/>
              </w:rPr>
              <w:t>Edu</w:t>
            </w:r>
            <w:r w:rsidRPr="00AD1AEA">
              <w:rPr>
                <w:rFonts w:cs="Segoe UI"/>
              </w:rPr>
              <w:t xml:space="preserve"> Analytics </w:t>
            </w:r>
            <w:r w:rsidR="0057316E">
              <w:rPr>
                <w:rFonts w:cs="Segoe UI"/>
              </w:rPr>
              <w:t xml:space="preserve">base </w:t>
            </w:r>
            <w:r w:rsidRPr="00AD1AEA">
              <w:rPr>
                <w:rFonts w:cs="Segoe UI"/>
              </w:rPr>
              <w:t>solution</w:t>
            </w:r>
            <w:r w:rsidR="0057316E">
              <w:rPr>
                <w:rFonts w:cs="Segoe UI"/>
              </w:rPr>
              <w:t xml:space="preserve"> as well as information on how to deploy modules and packages on the base architecture.</w:t>
            </w:r>
          </w:p>
          <w:p w14:paraId="1523D5D7" w14:textId="139E2339" w:rsidR="0057316E" w:rsidRDefault="0057316E" w:rsidP="003D7EBC">
            <w:pPr>
              <w:rPr>
                <w:rFonts w:cs="Segoe UI"/>
              </w:rPr>
            </w:pPr>
          </w:p>
          <w:p w14:paraId="7C5DAF6E" w14:textId="77777777" w:rsidR="00055BF3" w:rsidRDefault="00723D76" w:rsidP="003D7EBC">
            <w:pPr>
              <w:rPr>
                <w:rFonts w:cs="Segoe UI"/>
              </w:rPr>
            </w:pPr>
            <w:r>
              <w:rPr>
                <w:rFonts w:cs="Segoe UI"/>
              </w:rPr>
              <w:t xml:space="preserve">Open Edu Analytics is an open source modern data warehouse solution for education, built on </w:t>
            </w:r>
            <w:hyperlink r:id="rId13" w:history="1">
              <w:r w:rsidRPr="00D26019">
                <w:rPr>
                  <w:rStyle w:val="Hyperlink"/>
                  <w:rFonts w:cs="Segoe UI"/>
                </w:rPr>
                <w:t>Synapse Analytics</w:t>
              </w:r>
            </w:hyperlink>
            <w:r>
              <w:rPr>
                <w:rFonts w:cs="Segoe UI"/>
              </w:rPr>
              <w:t xml:space="preserve"> and </w:t>
            </w:r>
            <w:r w:rsidR="0057316E">
              <w:rPr>
                <w:rFonts w:cs="Segoe UI"/>
              </w:rPr>
              <w:t xml:space="preserve">the powerful set of </w:t>
            </w:r>
            <w:r>
              <w:rPr>
                <w:rFonts w:cs="Segoe UI"/>
              </w:rPr>
              <w:t xml:space="preserve">Azure platform </w:t>
            </w:r>
            <w:r w:rsidR="0057316E">
              <w:rPr>
                <w:rFonts w:cs="Segoe UI"/>
              </w:rPr>
              <w:t xml:space="preserve">data </w:t>
            </w:r>
            <w:r>
              <w:rPr>
                <w:rFonts w:cs="Segoe UI"/>
              </w:rPr>
              <w:t>services.</w:t>
            </w:r>
            <w:r w:rsidR="00D26019">
              <w:rPr>
                <w:rFonts w:cs="Segoe UI"/>
              </w:rPr>
              <w:t xml:space="preserve"> </w:t>
            </w:r>
          </w:p>
          <w:p w14:paraId="1B871752" w14:textId="77777777" w:rsidR="00055BF3" w:rsidRDefault="00055BF3" w:rsidP="003D7EBC">
            <w:pPr>
              <w:rPr>
                <w:rFonts w:cs="Segoe UI"/>
              </w:rPr>
            </w:pPr>
            <w:r>
              <w:rPr>
                <w:rFonts w:cs="Segoe UI"/>
              </w:rPr>
              <w:t xml:space="preserve">For a set of brief introductory videos on Synapse Analytics see: </w:t>
            </w:r>
            <w:hyperlink r:id="rId14" w:history="1">
              <w:r w:rsidRPr="00055BF3">
                <w:rPr>
                  <w:rStyle w:val="Hyperlink"/>
                  <w:rFonts w:cs="Segoe UI"/>
                </w:rPr>
                <w:t>Azure Synapse Analytics demo videos</w:t>
              </w:r>
            </w:hyperlink>
            <w:r>
              <w:rPr>
                <w:rFonts w:cs="Segoe UI"/>
              </w:rPr>
              <w:t>.</w:t>
            </w:r>
          </w:p>
          <w:p w14:paraId="1A420EB4" w14:textId="0A5BE3B5" w:rsidR="00723D76" w:rsidRDefault="00055BF3" w:rsidP="003D7EBC">
            <w:pPr>
              <w:rPr>
                <w:rFonts w:cs="Segoe UI"/>
              </w:rPr>
            </w:pPr>
            <w:r>
              <w:rPr>
                <w:rFonts w:cs="Segoe UI"/>
              </w:rPr>
              <w:t>F</w:t>
            </w:r>
            <w:r w:rsidR="00D26019">
              <w:rPr>
                <w:rFonts w:cs="Segoe UI"/>
              </w:rPr>
              <w:t xml:space="preserve">or a step-by-step guide through Synapse Analytics, see: </w:t>
            </w:r>
            <w:hyperlink r:id="rId15" w:history="1">
              <w:r w:rsidR="00D26019" w:rsidRPr="00D26019">
                <w:rPr>
                  <w:rStyle w:val="Hyperlink"/>
                  <w:rFonts w:cs="Segoe UI"/>
                </w:rPr>
                <w:t>Get Started with Azure Synapse Analytics</w:t>
              </w:r>
            </w:hyperlink>
            <w:r w:rsidR="00D26019">
              <w:rPr>
                <w:rFonts w:cs="Segoe UI"/>
              </w:rPr>
              <w:t>.</w:t>
            </w:r>
          </w:p>
          <w:p w14:paraId="2F409727" w14:textId="5E7A215D" w:rsidR="00643F8D" w:rsidRDefault="00643F8D" w:rsidP="003D7EBC">
            <w:pPr>
              <w:rPr>
                <w:rFonts w:cs="Segoe UI"/>
              </w:rPr>
            </w:pPr>
          </w:p>
          <w:p w14:paraId="2844A51C" w14:textId="7DA3EE07" w:rsidR="00643F8D" w:rsidRDefault="00643F8D" w:rsidP="003D7EBC">
            <w:pPr>
              <w:rPr>
                <w:rFonts w:cs="Segoe UI"/>
              </w:rPr>
            </w:pPr>
            <w:r>
              <w:rPr>
                <w:rFonts w:cs="Segoe UI"/>
              </w:rPr>
              <w:t xml:space="preserve">All scripts and documentation for the Open Edu Analytics solution can be found at: </w:t>
            </w:r>
            <w:hyperlink r:id="rId16" w:history="1">
              <w:r w:rsidRPr="00643F8D">
                <w:rPr>
                  <w:rStyle w:val="Hyperlink"/>
                  <w:rFonts w:cs="Segoe UI"/>
                </w:rPr>
                <w:t>https://github.com/microsoft/OpenEduAnalytics</w:t>
              </w:r>
            </w:hyperlink>
          </w:p>
          <w:p w14:paraId="3C68E849" w14:textId="5A8DB843" w:rsidR="0057316E" w:rsidRDefault="0057316E" w:rsidP="003D7EBC">
            <w:pPr>
              <w:rPr>
                <w:rFonts w:cs="Segoe UI"/>
              </w:rPr>
            </w:pPr>
          </w:p>
          <w:p w14:paraId="761B318E" w14:textId="67B5FEC8" w:rsidR="0057316E" w:rsidRDefault="0057316E" w:rsidP="003D7EBC">
            <w:pPr>
              <w:rPr>
                <w:rFonts w:cs="Segoe UI"/>
              </w:rPr>
            </w:pPr>
            <w:r>
              <w:rPr>
                <w:rFonts w:cs="Segoe UI"/>
              </w:rPr>
              <w:t>The Open Edu Analytics solution is comprised of:</w:t>
            </w:r>
          </w:p>
          <w:p w14:paraId="04EB0136" w14:textId="5D137D30" w:rsidR="0057316E" w:rsidRDefault="0057316E" w:rsidP="0057316E">
            <w:pPr>
              <w:pStyle w:val="ListParagraph"/>
              <w:numPr>
                <w:ilvl w:val="0"/>
                <w:numId w:val="13"/>
              </w:numPr>
              <w:rPr>
                <w:rFonts w:cs="Segoe UI"/>
              </w:rPr>
            </w:pPr>
            <w:r>
              <w:rPr>
                <w:rFonts w:cs="Segoe UI"/>
              </w:rPr>
              <w:t xml:space="preserve">The core Open Edu Analytics solution architecture – an Azure storage account, </w:t>
            </w:r>
            <w:r w:rsidR="00D26019">
              <w:rPr>
                <w:rFonts w:cs="Segoe UI"/>
              </w:rPr>
              <w:t xml:space="preserve">a </w:t>
            </w:r>
            <w:r>
              <w:rPr>
                <w:rFonts w:cs="Segoe UI"/>
              </w:rPr>
              <w:t>Synapse workspace,</w:t>
            </w:r>
            <w:r w:rsidR="00D26019">
              <w:rPr>
                <w:rFonts w:cs="Segoe UI"/>
              </w:rPr>
              <w:t xml:space="preserve"> an Apache Spark Pool,</w:t>
            </w:r>
            <w:r>
              <w:rPr>
                <w:rFonts w:cs="Segoe UI"/>
              </w:rPr>
              <w:t xml:space="preserve"> AAD security groups</w:t>
            </w:r>
          </w:p>
          <w:p w14:paraId="1FE142BF" w14:textId="214AC95B" w:rsidR="0057316E" w:rsidRDefault="0057316E" w:rsidP="0057316E">
            <w:pPr>
              <w:pStyle w:val="ListParagraph"/>
              <w:numPr>
                <w:ilvl w:val="0"/>
                <w:numId w:val="13"/>
              </w:numPr>
              <w:rPr>
                <w:rFonts w:cs="Segoe UI"/>
              </w:rPr>
            </w:pPr>
            <w:r>
              <w:rPr>
                <w:rFonts w:cs="Segoe UI"/>
              </w:rPr>
              <w:t xml:space="preserve">Data modules – </w:t>
            </w:r>
            <w:r w:rsidR="00D26019">
              <w:rPr>
                <w:rFonts w:cs="Segoe UI"/>
              </w:rPr>
              <w:t xml:space="preserve">Apache Spark </w:t>
            </w:r>
            <w:r>
              <w:rPr>
                <w:rFonts w:cs="Segoe UI"/>
              </w:rPr>
              <w:t xml:space="preserve">notebooks for the processing of source data from a specific source </w:t>
            </w:r>
            <w:r w:rsidR="00762F3B">
              <w:rPr>
                <w:rFonts w:cs="Segoe UI"/>
              </w:rPr>
              <w:t>system. Data modules can be seen as data silos, bringing in data from a single system, with no dependencies.</w:t>
            </w:r>
          </w:p>
          <w:p w14:paraId="38C7269C" w14:textId="5E371A4C" w:rsidR="0057316E" w:rsidRDefault="0057316E" w:rsidP="0057316E">
            <w:pPr>
              <w:pStyle w:val="ListParagraph"/>
              <w:numPr>
                <w:ilvl w:val="0"/>
                <w:numId w:val="13"/>
              </w:numPr>
              <w:rPr>
                <w:rFonts w:cs="Segoe UI"/>
              </w:rPr>
            </w:pPr>
            <w:r>
              <w:rPr>
                <w:rFonts w:cs="Segoe UI"/>
              </w:rPr>
              <w:t>Solution packages</w:t>
            </w:r>
            <w:r w:rsidR="00762F3B">
              <w:rPr>
                <w:rFonts w:cs="Segoe UI"/>
              </w:rPr>
              <w:t xml:space="preserve"> – a package of assets such as </w:t>
            </w:r>
            <w:r w:rsidR="00D26019">
              <w:rPr>
                <w:rFonts w:cs="Segoe UI"/>
              </w:rPr>
              <w:t xml:space="preserve">Apache Spark </w:t>
            </w:r>
            <w:r w:rsidR="00762F3B">
              <w:rPr>
                <w:rFonts w:cs="Segoe UI"/>
              </w:rPr>
              <w:t xml:space="preserve">notebooks for </w:t>
            </w:r>
            <w:r w:rsidR="00D26019">
              <w:rPr>
                <w:rFonts w:cs="Segoe UI"/>
              </w:rPr>
              <w:t>provisioning</w:t>
            </w:r>
            <w:r w:rsidR="00762F3B">
              <w:rPr>
                <w:rFonts w:cs="Segoe UI"/>
              </w:rPr>
              <w:t xml:space="preserve"> a comprehensive view over multiple data sets, Power BI reports, and Machine Learning models. A solution package utilizes one or more data modules for providing the source data utilized in the solution.</w:t>
            </w:r>
          </w:p>
          <w:p w14:paraId="27A08903" w14:textId="612BC016" w:rsidR="00762F3B" w:rsidRDefault="00762F3B" w:rsidP="0057316E">
            <w:pPr>
              <w:spacing w:after="160" w:line="259" w:lineRule="auto"/>
              <w:contextualSpacing/>
              <w:rPr>
                <w:rFonts w:cs="Segoe UI"/>
              </w:rPr>
            </w:pPr>
          </w:p>
          <w:p w14:paraId="24FF4052" w14:textId="77777777" w:rsidR="0057316E" w:rsidRDefault="00762F3B" w:rsidP="0057316E">
            <w:pPr>
              <w:spacing w:after="160" w:line="259" w:lineRule="auto"/>
              <w:contextualSpacing/>
              <w:rPr>
                <w:rFonts w:cs="Segoe UI"/>
              </w:rPr>
            </w:pPr>
            <w:r>
              <w:rPr>
                <w:rFonts w:cs="Segoe UI"/>
              </w:rPr>
              <w:t xml:space="preserve">In order to begin the setup of the Open Edu Analytics solution, all you need is an </w:t>
            </w:r>
            <w:hyperlink r:id="rId17" w:history="1">
              <w:r w:rsidRPr="00762F3B">
                <w:rPr>
                  <w:rStyle w:val="Hyperlink"/>
                  <w:rFonts w:cs="Segoe UI"/>
                </w:rPr>
                <w:t>Azure subscription</w:t>
              </w:r>
            </w:hyperlink>
            <w:r>
              <w:rPr>
                <w:rFonts w:cs="Segoe UI"/>
              </w:rPr>
              <w:t>.</w:t>
            </w:r>
          </w:p>
          <w:p w14:paraId="6B4D5E3D" w14:textId="77777777" w:rsidR="00D26019" w:rsidRDefault="00D26019" w:rsidP="0057316E">
            <w:pPr>
              <w:spacing w:after="160" w:line="259" w:lineRule="auto"/>
              <w:contextualSpacing/>
              <w:rPr>
                <w:rFonts w:cs="Segoe UI"/>
              </w:rPr>
            </w:pPr>
          </w:p>
          <w:p w14:paraId="3CE624BA" w14:textId="652F9E70" w:rsidR="00D26019" w:rsidRPr="0057316E" w:rsidRDefault="00D26019" w:rsidP="0057316E">
            <w:pPr>
              <w:spacing w:after="160" w:line="259" w:lineRule="auto"/>
              <w:contextualSpacing/>
              <w:rPr>
                <w:rFonts w:cs="Segoe UI"/>
              </w:rPr>
            </w:pPr>
            <w:r>
              <w:rPr>
                <w:rFonts w:cs="Segoe UI"/>
              </w:rPr>
              <w:t>The diagram below provides a high-level overview of the reference architecture.</w:t>
            </w:r>
          </w:p>
        </w:tc>
      </w:tr>
    </w:tbl>
    <w:p w14:paraId="4F322768" w14:textId="0AF661B6" w:rsidR="00762F3B" w:rsidRDefault="004C3C7D">
      <w:pPr>
        <w:spacing w:line="240" w:lineRule="auto"/>
        <w:rPr>
          <w:rFonts w:ascii="Segoe UI Light" w:eastAsia="Times New Roman" w:hAnsi="Segoe UI Light" w:cs="Times New Roman"/>
          <w:color w:val="0054A6" w:themeColor="text2"/>
          <w:kern w:val="36"/>
          <w:sz w:val="60"/>
          <w:szCs w:val="39"/>
        </w:rPr>
      </w:pPr>
      <w:bookmarkStart w:id="1" w:name="_Toc49501994"/>
      <w:r>
        <w:rPr>
          <w:noProof/>
        </w:rPr>
        <w:drawing>
          <wp:anchor distT="0" distB="0" distL="114300" distR="114300" simplePos="0" relativeHeight="251664385" behindDoc="0" locked="0" layoutInCell="1" allowOverlap="1" wp14:anchorId="25164DCB" wp14:editId="5661F64E">
            <wp:simplePos x="0" y="0"/>
            <wp:positionH relativeFrom="column">
              <wp:posOffset>51913</wp:posOffset>
            </wp:positionH>
            <wp:positionV relativeFrom="paragraph">
              <wp:posOffset>386164</wp:posOffset>
            </wp:positionV>
            <wp:extent cx="6685208" cy="3191372"/>
            <wp:effectExtent l="0" t="0" r="0" b="9525"/>
            <wp:wrapNone/>
            <wp:docPr id="9" name="Picture 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imelin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85208" cy="31913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2F3B">
        <w:br w:type="page"/>
      </w:r>
    </w:p>
    <w:p w14:paraId="285613B4" w14:textId="230260DD" w:rsidR="003D7EBC" w:rsidRPr="003D7EBC" w:rsidRDefault="00762F3B" w:rsidP="003D7EBC">
      <w:pPr>
        <w:pStyle w:val="Heading1"/>
      </w:pPr>
      <w:bookmarkStart w:id="2" w:name="_Toc57734326"/>
      <w:r>
        <w:lastRenderedPageBreak/>
        <w:t>1</w:t>
      </w:r>
      <w:r w:rsidR="003D7EBC" w:rsidRPr="003D7EBC">
        <w:t xml:space="preserve">) Setup </w:t>
      </w:r>
      <w:bookmarkEnd w:id="1"/>
      <w:r w:rsidR="00893AB7">
        <w:t>of b</w:t>
      </w:r>
      <w:r w:rsidR="00130149">
        <w:t xml:space="preserve">ase </w:t>
      </w:r>
      <w:r w:rsidR="00893AB7">
        <w:t>a</w:t>
      </w:r>
      <w:r w:rsidR="00130149">
        <w:t>rchitecture</w:t>
      </w:r>
      <w:bookmarkEnd w:id="2"/>
    </w:p>
    <w:p w14:paraId="355C1427" w14:textId="3D1B231A" w:rsidR="00643F8D" w:rsidRDefault="003D7EBC" w:rsidP="003D7EBC">
      <w:pPr>
        <w:rPr>
          <w:rFonts w:cs="Segoe UI"/>
        </w:rPr>
      </w:pPr>
      <w:r w:rsidRPr="00AD1AEA">
        <w:rPr>
          <w:rFonts w:cs="Segoe UI"/>
        </w:rPr>
        <w:t xml:space="preserve">In this section you will </w:t>
      </w:r>
      <w:r w:rsidR="00723D76">
        <w:rPr>
          <w:rFonts w:cs="Segoe UI"/>
        </w:rPr>
        <w:t>use a</w:t>
      </w:r>
      <w:r w:rsidR="00643F8D">
        <w:rPr>
          <w:rFonts w:cs="Segoe UI"/>
        </w:rPr>
        <w:t xml:space="preserve"> </w:t>
      </w:r>
      <w:r w:rsidR="00723D76">
        <w:rPr>
          <w:rFonts w:cs="Segoe UI"/>
        </w:rPr>
        <w:t xml:space="preserve">script </w:t>
      </w:r>
      <w:r w:rsidR="00643F8D">
        <w:rPr>
          <w:rFonts w:cs="Segoe UI"/>
        </w:rPr>
        <w:t>to provision the Azure resources that comprise the core of this solution.</w:t>
      </w:r>
    </w:p>
    <w:p w14:paraId="2CFD77F1" w14:textId="1E2916FD" w:rsidR="0097235F" w:rsidRDefault="00130149" w:rsidP="003D7EBC">
      <w:pPr>
        <w:rPr>
          <w:rFonts w:cs="Segoe UI"/>
        </w:rPr>
      </w:pPr>
      <w:r>
        <w:rPr>
          <w:rFonts w:cs="Segoe UI"/>
        </w:rPr>
        <w:t>1</w:t>
      </w:r>
      <w:r w:rsidR="0097235F">
        <w:rPr>
          <w:rFonts w:cs="Segoe UI"/>
        </w:rPr>
        <w:t>.1) In Azure portal, click on the Cloud Shell icon, then select “Bash”</w:t>
      </w:r>
      <w:r w:rsidR="00A42280">
        <w:rPr>
          <w:rFonts w:cs="Segoe UI"/>
        </w:rPr>
        <w:t>.</w:t>
      </w:r>
    </w:p>
    <w:p w14:paraId="067BD0B9" w14:textId="7C220DC3" w:rsidR="00761513" w:rsidRDefault="00EE5F67" w:rsidP="003D7EBC">
      <w:pPr>
        <w:rPr>
          <w:rFonts w:cs="Segoe UI"/>
        </w:rPr>
      </w:pPr>
      <w:r>
        <w:rPr>
          <w:rFonts w:cs="Segoe UI"/>
          <w:noProof/>
        </w:rPr>
        <mc:AlternateContent>
          <mc:Choice Requires="wps">
            <w:drawing>
              <wp:anchor distT="0" distB="0" distL="114300" distR="114300" simplePos="0" relativeHeight="251663361" behindDoc="0" locked="0" layoutInCell="1" allowOverlap="1" wp14:anchorId="4176F02B" wp14:editId="175BB605">
                <wp:simplePos x="0" y="0"/>
                <wp:positionH relativeFrom="column">
                  <wp:posOffset>2564296</wp:posOffset>
                </wp:positionH>
                <wp:positionV relativeFrom="paragraph">
                  <wp:posOffset>152483</wp:posOffset>
                </wp:positionV>
                <wp:extent cx="135172" cy="122914"/>
                <wp:effectExtent l="0" t="0" r="17780" b="10795"/>
                <wp:wrapNone/>
                <wp:docPr id="32" name="Rectangle 32"/>
                <wp:cNvGraphicFramePr/>
                <a:graphic xmlns:a="http://schemas.openxmlformats.org/drawingml/2006/main">
                  <a:graphicData uri="http://schemas.microsoft.com/office/word/2010/wordprocessingShape">
                    <wps:wsp>
                      <wps:cNvSpPr/>
                      <wps:spPr>
                        <a:xfrm>
                          <a:off x="0" y="0"/>
                          <a:ext cx="135172" cy="12291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15A958" id="Rectangle 32" o:spid="_x0000_s1026" style="position:absolute;margin-left:201.9pt;margin-top:12pt;width:10.65pt;height:9.7pt;z-index:25166336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DMXlQIAAIYFAAAOAAAAZHJzL2Uyb0RvYy54bWysVMFu2zAMvQ/YPwi6r47ddN2MOkWQIsOA&#10;oi3aDj0rshQbkEVNUuJkXz9Kst2gK3YYloMiiuQj+Uzy6vrQKbIX1rWgK5qfzSgRmkPd6m1Ffzyv&#10;P32hxHmma6ZAi4oehaPXi48frnpTigIaULWwBEG0K3tT0cZ7U2aZ443omDsDIzQqJdiOeRTtNqst&#10;6xG9U1kxm33OerC1scCFc/h6k5R0EfGlFNzfS+mEJ6qimJuPp43nJpzZ4oqVW8tM0/IhDfYPWXSs&#10;1Rh0grphnpGdbf+A6lpuwYH0Zxy6DKRsuYg1YDX57E01Tw0zItaC5Dgz0eT+Hyy/2z9Y0tYVPS8o&#10;0azDb/SIrDG9VYLgGxLUG1ei3ZN5sIPk8BqqPUjbhX+sgxwiqceJVHHwhONjfn6RXyI2R1VeFF/z&#10;ecDMXp2Ndf6bgI6ES0UtRo9Usv2t88l0NAmxNKxbpfCdlUqH04Fq6/AWBbvdrJQle4YffL2e4W8I&#10;d2KGwYNrFgpLpcSbPyqRYB+FRE4w+SJmErtRTLCMc6F9nlQNq0WKdnEaLPRv8IiVKo2AAVlilhP2&#10;ADBaJpARO9U92AdXEZt5cp79LbHkPHnEyKD95Ny1Gux7AAqrGiIn+5GkRE1gaQP1ETvGQholZ/i6&#10;xe92y5x/YBZnB6cM94G/x0Mq6CsKw42SBuyv996DPbY0ainpcRYr6n7umBWUqO8amx17Zh6GNwrz&#10;i8sCBXuq2Zxq9K5bAX79HDeP4fEa7L0ar9JC94JrYxmiooppjrEryr0dhZVPOwIXDxfLZTTDgTXM&#10;3+onwwN4YDX05fPhhVkzNK/Hrr+DcW5Z+aaHk23w1LDceZBtbPBXXge+cdhj4wyLKWyTUzlava7P&#10;xW8AAAD//wMAUEsDBBQABgAIAAAAIQB85/+s3wAAAAkBAAAPAAAAZHJzL2Rvd25yZXYueG1sTI/B&#10;TsMwDIbvSLxDZCQuiKVryzSVphNMYgcOSBtcuKWNaas1TpWka3l7zAlutvzr8/eXu8UO4oI+9I4U&#10;rFcJCKTGmZ5aBR/vL/dbECFqMnpwhAq+McCuur4qdWHcTEe8nGIrGEKh0Aq6GMdCytB0aHVYuRGJ&#10;b1/OWx159a00Xs8Mt4NMk2Qjre6JP3R6xH2Hzfk0WQX14dPvt8/ZIU53G0af21d8m5W6vVmeHkFE&#10;XOJfGH71WR0qdqrdRCaIQUGeZKweFaQ5d+JAnj6sQdQ8ZDnIqpT/G1Q/AAAA//8DAFBLAQItABQA&#10;BgAIAAAAIQC2gziS/gAAAOEBAAATAAAAAAAAAAAAAAAAAAAAAABbQ29udGVudF9UeXBlc10ueG1s&#10;UEsBAi0AFAAGAAgAAAAhADj9If/WAAAAlAEAAAsAAAAAAAAAAAAAAAAALwEAAF9yZWxzLy5yZWxz&#10;UEsBAi0AFAAGAAgAAAAhAEHsMxeVAgAAhgUAAA4AAAAAAAAAAAAAAAAALgIAAGRycy9lMm9Eb2Mu&#10;eG1sUEsBAi0AFAAGAAgAAAAhAHzn/6zfAAAACQEAAA8AAAAAAAAAAAAAAAAA7wQAAGRycy9kb3du&#10;cmV2LnhtbFBLBQYAAAAABAAEAPMAAAD7BQAAAAA=&#10;" filled="f" strokecolor="red" strokeweight="2pt"/>
            </w:pict>
          </mc:Fallback>
        </mc:AlternateContent>
      </w:r>
    </w:p>
    <w:p w14:paraId="04244FEC" w14:textId="37B44877" w:rsidR="00761513" w:rsidRDefault="00761513" w:rsidP="003D7EBC">
      <w:pPr>
        <w:rPr>
          <w:rFonts w:cs="Segoe UI"/>
        </w:rPr>
      </w:pPr>
      <w:r>
        <w:rPr>
          <w:noProof/>
        </w:rPr>
        <w:drawing>
          <wp:inline distT="0" distB="0" distL="0" distR="0" wp14:anchorId="61C867DD" wp14:editId="590EE787">
            <wp:extent cx="3968115" cy="2276155"/>
            <wp:effectExtent l="0" t="0" r="0" b="0"/>
            <wp:docPr id="4" name="Picture 4" descr="Graphical user interface, text,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PowerPoint&#10;&#10;Description automatically generated"/>
                    <pic:cNvPicPr/>
                  </pic:nvPicPr>
                  <pic:blipFill>
                    <a:blip r:embed="rId19"/>
                    <a:stretch>
                      <a:fillRect/>
                    </a:stretch>
                  </pic:blipFill>
                  <pic:spPr>
                    <a:xfrm>
                      <a:off x="0" y="0"/>
                      <a:ext cx="4002336" cy="2295785"/>
                    </a:xfrm>
                    <a:prstGeom prst="rect">
                      <a:avLst/>
                    </a:prstGeom>
                  </pic:spPr>
                </pic:pic>
              </a:graphicData>
            </a:graphic>
          </wp:inline>
        </w:drawing>
      </w:r>
    </w:p>
    <w:p w14:paraId="6DC44428" w14:textId="77777777" w:rsidR="004B6CEE" w:rsidRDefault="004B6CEE" w:rsidP="003D7EBC">
      <w:pPr>
        <w:rPr>
          <w:rFonts w:cs="Segoe UI"/>
        </w:rPr>
      </w:pPr>
    </w:p>
    <w:p w14:paraId="3DA5C9AA" w14:textId="6E584A9B" w:rsidR="004B6CEE" w:rsidRDefault="00130149" w:rsidP="003D7EBC">
      <w:pPr>
        <w:rPr>
          <w:rFonts w:cs="Segoe UI"/>
        </w:rPr>
      </w:pPr>
      <w:r>
        <w:rPr>
          <w:rFonts w:cs="Segoe UI"/>
        </w:rPr>
        <w:t>1</w:t>
      </w:r>
      <w:r w:rsidR="004B6CEE">
        <w:rPr>
          <w:rFonts w:cs="Segoe UI"/>
        </w:rPr>
        <w:t>.2) Click on “Create storage”</w:t>
      </w:r>
    </w:p>
    <w:p w14:paraId="727CCE9B" w14:textId="59FC6A6B" w:rsidR="0097235F" w:rsidRDefault="0097235F" w:rsidP="003D7EBC">
      <w:pPr>
        <w:rPr>
          <w:rFonts w:cs="Segoe UI"/>
        </w:rPr>
      </w:pPr>
      <w:r>
        <w:rPr>
          <w:noProof/>
        </w:rPr>
        <w:drawing>
          <wp:inline distT="0" distB="0" distL="0" distR="0" wp14:anchorId="3B97974E" wp14:editId="3FD1314E">
            <wp:extent cx="3095625" cy="1195255"/>
            <wp:effectExtent l="0" t="0" r="0" b="508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20"/>
                    <a:stretch>
                      <a:fillRect/>
                    </a:stretch>
                  </pic:blipFill>
                  <pic:spPr>
                    <a:xfrm>
                      <a:off x="0" y="0"/>
                      <a:ext cx="3119016" cy="1204286"/>
                    </a:xfrm>
                    <a:prstGeom prst="rect">
                      <a:avLst/>
                    </a:prstGeom>
                  </pic:spPr>
                </pic:pic>
              </a:graphicData>
            </a:graphic>
          </wp:inline>
        </w:drawing>
      </w:r>
    </w:p>
    <w:p w14:paraId="2946EB2E" w14:textId="7C299EEB" w:rsidR="00EE5F67" w:rsidRDefault="00130149" w:rsidP="003D7EBC">
      <w:pPr>
        <w:rPr>
          <w:rFonts w:ascii="Courier New" w:hAnsi="Courier New" w:cs="Courier New"/>
          <w:sz w:val="16"/>
          <w:szCs w:val="16"/>
        </w:rPr>
      </w:pPr>
      <w:r>
        <w:rPr>
          <w:rFonts w:cs="Segoe UI"/>
        </w:rPr>
        <w:t>1</w:t>
      </w:r>
      <w:r w:rsidR="006925A1">
        <w:rPr>
          <w:rFonts w:cs="Segoe UI"/>
        </w:rPr>
        <w:t>.3) At the bash shell prompt, enter the following command</w:t>
      </w:r>
      <w:r w:rsidR="00EE5F67">
        <w:rPr>
          <w:rFonts w:cs="Segoe UI"/>
        </w:rPr>
        <w:t>s</w:t>
      </w:r>
      <w:r>
        <w:rPr>
          <w:rFonts w:cs="Segoe UI"/>
        </w:rPr>
        <w:t xml:space="preserve"> to download the contents of the OpenEduAnalytics repository to your Azure cloud drive.</w:t>
      </w:r>
      <w:r w:rsidR="006925A1">
        <w:rPr>
          <w:rFonts w:cs="Segoe UI"/>
        </w:rPr>
        <w:br/>
      </w:r>
      <w:r w:rsidR="00EE5F67">
        <w:rPr>
          <w:rFonts w:ascii="Courier New" w:hAnsi="Courier New" w:cs="Courier New"/>
          <w:sz w:val="16"/>
          <w:szCs w:val="16"/>
        </w:rPr>
        <w:t>cd clouddrive</w:t>
      </w:r>
    </w:p>
    <w:p w14:paraId="438B6A7B" w14:textId="28DFB59C" w:rsidR="006925A1" w:rsidRDefault="006925A1" w:rsidP="003D7EBC">
      <w:pPr>
        <w:rPr>
          <w:rFonts w:cs="Segoe UI"/>
        </w:rPr>
      </w:pPr>
      <w:r w:rsidRPr="006925A1">
        <w:rPr>
          <w:rFonts w:ascii="Courier New" w:hAnsi="Courier New" w:cs="Courier New"/>
          <w:sz w:val="16"/>
          <w:szCs w:val="16"/>
        </w:rPr>
        <w:t>git clone https://github.com/microsoft/OpenEdu</w:t>
      </w:r>
      <w:r>
        <w:rPr>
          <w:rFonts w:ascii="Courier New" w:hAnsi="Courier New" w:cs="Courier New"/>
          <w:sz w:val="16"/>
          <w:szCs w:val="16"/>
        </w:rPr>
        <w:t>Analytics</w:t>
      </w:r>
    </w:p>
    <w:p w14:paraId="3259ACF0" w14:textId="7358350D" w:rsidR="006925A1" w:rsidRDefault="006925A1" w:rsidP="003D7EBC">
      <w:pPr>
        <w:rPr>
          <w:rFonts w:cs="Segoe UI"/>
        </w:rPr>
      </w:pPr>
      <w:r>
        <w:rPr>
          <w:noProof/>
        </w:rPr>
        <w:drawing>
          <wp:inline distT="0" distB="0" distL="0" distR="0" wp14:anchorId="19F815F5" wp14:editId="43A93F16">
            <wp:extent cx="5634842" cy="1771323"/>
            <wp:effectExtent l="0" t="0" r="4445" b="635"/>
            <wp:docPr id="22" name="Picture 2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 screen&#10;&#10;Description automatically generated"/>
                    <pic:cNvPicPr/>
                  </pic:nvPicPr>
                  <pic:blipFill>
                    <a:blip r:embed="rId21"/>
                    <a:stretch>
                      <a:fillRect/>
                    </a:stretch>
                  </pic:blipFill>
                  <pic:spPr>
                    <a:xfrm>
                      <a:off x="0" y="0"/>
                      <a:ext cx="5643095" cy="1773917"/>
                    </a:xfrm>
                    <a:prstGeom prst="rect">
                      <a:avLst/>
                    </a:prstGeom>
                  </pic:spPr>
                </pic:pic>
              </a:graphicData>
            </a:graphic>
          </wp:inline>
        </w:drawing>
      </w:r>
    </w:p>
    <w:p w14:paraId="62CD92EE" w14:textId="6A83B4B6" w:rsidR="00130149" w:rsidRDefault="00130149" w:rsidP="003D7EBC">
      <w:pPr>
        <w:rPr>
          <w:rFonts w:cs="Segoe UI"/>
        </w:rPr>
      </w:pPr>
      <w:r>
        <w:rPr>
          <w:rFonts w:cs="Segoe UI"/>
        </w:rPr>
        <w:t>1</w:t>
      </w:r>
      <w:r w:rsidR="006925A1">
        <w:rPr>
          <w:rFonts w:cs="Segoe UI"/>
        </w:rPr>
        <w:t xml:space="preserve">.4) </w:t>
      </w:r>
      <w:r w:rsidR="003908C3">
        <w:rPr>
          <w:rFonts w:cs="Segoe UI"/>
        </w:rPr>
        <w:t>Now run the setup script found in the root directory of OpenEduAnalytics</w:t>
      </w:r>
      <w:r w:rsidR="00533758">
        <w:rPr>
          <w:rFonts w:cs="Segoe UI"/>
        </w:rPr>
        <w:t xml:space="preserve"> by running </w:t>
      </w:r>
      <w:r w:rsidR="003908C3">
        <w:rPr>
          <w:rFonts w:cs="Segoe UI"/>
        </w:rPr>
        <w:t>the following commands:</w:t>
      </w:r>
    </w:p>
    <w:p w14:paraId="07A4A727" w14:textId="03F5325B" w:rsidR="003908C3" w:rsidRDefault="003908C3" w:rsidP="003908C3">
      <w:pPr>
        <w:rPr>
          <w:rFonts w:ascii="Courier New" w:hAnsi="Courier New" w:cs="Courier New"/>
          <w:sz w:val="16"/>
          <w:szCs w:val="16"/>
        </w:rPr>
      </w:pPr>
      <w:r>
        <w:rPr>
          <w:rFonts w:ascii="Courier New" w:hAnsi="Courier New" w:cs="Courier New"/>
          <w:sz w:val="16"/>
          <w:szCs w:val="16"/>
        </w:rPr>
        <w:t>cd OpenEduAnalytics</w:t>
      </w:r>
    </w:p>
    <w:p w14:paraId="52AD3226" w14:textId="486D25E9" w:rsidR="003908C3" w:rsidRDefault="003908C3" w:rsidP="003908C3">
      <w:pPr>
        <w:rPr>
          <w:rFonts w:cs="Segoe UI"/>
        </w:rPr>
      </w:pPr>
      <w:r>
        <w:rPr>
          <w:rFonts w:ascii="Courier New" w:hAnsi="Courier New" w:cs="Courier New"/>
          <w:sz w:val="16"/>
          <w:szCs w:val="16"/>
        </w:rPr>
        <w:t>./setup.sh</w:t>
      </w:r>
    </w:p>
    <w:p w14:paraId="54E5E84D" w14:textId="77777777" w:rsidR="003908C3" w:rsidRDefault="003908C3" w:rsidP="003D7EBC">
      <w:pPr>
        <w:rPr>
          <w:rFonts w:cs="Segoe UI"/>
        </w:rPr>
      </w:pPr>
    </w:p>
    <w:p w14:paraId="2123B7EC" w14:textId="03C80F6A" w:rsidR="003908C3" w:rsidRDefault="003908C3" w:rsidP="003D7EBC">
      <w:pPr>
        <w:rPr>
          <w:rFonts w:cs="Segoe UI"/>
        </w:rPr>
      </w:pPr>
      <w:r>
        <w:rPr>
          <w:rFonts w:cs="Segoe UI"/>
        </w:rPr>
        <w:t>The script will prompt you to enter an ID for your org, which is used as a suffix for the names of Azure resources that must be unique. For example, a school district named Contoso Independent School District might choose an org ID of “cisd” or “contosoisd”.</w:t>
      </w:r>
    </w:p>
    <w:p w14:paraId="2D041832" w14:textId="7F47D056" w:rsidR="003908C3" w:rsidRDefault="003908C3" w:rsidP="003D7EBC">
      <w:pPr>
        <w:rPr>
          <w:rFonts w:cs="Segoe UI"/>
        </w:rPr>
      </w:pPr>
    </w:p>
    <w:p w14:paraId="01106450" w14:textId="09101EFE" w:rsidR="003908C3" w:rsidRDefault="003908C3" w:rsidP="003D7EBC">
      <w:pPr>
        <w:rPr>
          <w:rFonts w:cs="Segoe UI"/>
        </w:rPr>
      </w:pPr>
      <w:r>
        <w:rPr>
          <w:rFonts w:cs="Segoe UI"/>
        </w:rPr>
        <w:t>The script will next prompt you to enter a location for the Azure resources</w:t>
      </w:r>
      <w:r w:rsidR="00533758">
        <w:rPr>
          <w:rFonts w:cs="Segoe UI"/>
        </w:rPr>
        <w:t xml:space="preserve">, with the default value being “eastus”. For a list of choices, see: </w:t>
      </w:r>
      <w:hyperlink r:id="rId22" w:history="1">
        <w:r w:rsidR="00533758" w:rsidRPr="00533758">
          <w:rPr>
            <w:rStyle w:val="Hyperlink"/>
            <w:rFonts w:cs="Segoe UI"/>
          </w:rPr>
          <w:t>Products available by region</w:t>
        </w:r>
      </w:hyperlink>
    </w:p>
    <w:p w14:paraId="4A81A3C1" w14:textId="77777777" w:rsidR="00533758" w:rsidRDefault="00533758" w:rsidP="003D7EBC">
      <w:pPr>
        <w:rPr>
          <w:rFonts w:cs="Segoe UI"/>
        </w:rPr>
      </w:pPr>
    </w:p>
    <w:p w14:paraId="1E289FB2" w14:textId="449F5C93" w:rsidR="00533758" w:rsidRDefault="00A42280" w:rsidP="00533758">
      <w:pPr>
        <w:rPr>
          <w:rFonts w:cs="Segoe UI"/>
        </w:rPr>
      </w:pPr>
      <w:r>
        <w:rPr>
          <w:rFonts w:cs="Segoe UI"/>
        </w:rPr>
        <w:t>Th</w:t>
      </w:r>
      <w:r w:rsidR="00533758">
        <w:rPr>
          <w:rFonts w:cs="Segoe UI"/>
        </w:rPr>
        <w:t>e installation script will then take several minutes to complete, as it provisions the following Azure resources:</w:t>
      </w:r>
    </w:p>
    <w:p w14:paraId="38C584F6" w14:textId="33C691B9" w:rsidR="00A42280" w:rsidRPr="00533758" w:rsidRDefault="00A42280" w:rsidP="000B7E62">
      <w:pPr>
        <w:pStyle w:val="ListParagraph"/>
        <w:numPr>
          <w:ilvl w:val="0"/>
          <w:numId w:val="14"/>
        </w:numPr>
        <w:rPr>
          <w:rFonts w:cs="Segoe UI"/>
        </w:rPr>
      </w:pPr>
      <w:r w:rsidRPr="00533758">
        <w:rPr>
          <w:rFonts w:cs="Segoe UI"/>
        </w:rPr>
        <w:lastRenderedPageBreak/>
        <w:t>EduAnalytics resource group</w:t>
      </w:r>
    </w:p>
    <w:p w14:paraId="053218CA" w14:textId="728D2BE8" w:rsidR="00A42280" w:rsidRDefault="00A42280" w:rsidP="000B7E62">
      <w:pPr>
        <w:pStyle w:val="ListParagraph"/>
        <w:numPr>
          <w:ilvl w:val="0"/>
          <w:numId w:val="14"/>
        </w:numPr>
        <w:rPr>
          <w:rFonts w:cs="Segoe UI"/>
        </w:rPr>
      </w:pPr>
      <w:r>
        <w:rPr>
          <w:rFonts w:cs="Segoe UI"/>
        </w:rPr>
        <w:t xml:space="preserve">storage </w:t>
      </w:r>
      <w:r w:rsidR="00465EB9">
        <w:rPr>
          <w:rFonts w:cs="Segoe UI"/>
        </w:rPr>
        <w:t xml:space="preserve">account with </w:t>
      </w:r>
      <w:r w:rsidR="00533758">
        <w:rPr>
          <w:rFonts w:cs="Segoe UI"/>
        </w:rPr>
        <w:t>4</w:t>
      </w:r>
      <w:r w:rsidR="00465EB9">
        <w:rPr>
          <w:rFonts w:cs="Segoe UI"/>
        </w:rPr>
        <w:t xml:space="preserve"> storage containers (named </w:t>
      </w:r>
      <w:r w:rsidR="00D20593">
        <w:rPr>
          <w:rFonts w:cs="Segoe UI"/>
        </w:rPr>
        <w:t xml:space="preserve">synapse, </w:t>
      </w:r>
      <w:r w:rsidR="00465EB9">
        <w:rPr>
          <w:rFonts w:cs="Segoe UI"/>
        </w:rPr>
        <w:t>stage1, stage2, stage3</w:t>
      </w:r>
      <w:r w:rsidR="00533758">
        <w:rPr>
          <w:rFonts w:cs="Segoe UI"/>
        </w:rPr>
        <w:t xml:space="preserve">, </w:t>
      </w:r>
      <w:r w:rsidR="00D20593">
        <w:rPr>
          <w:rFonts w:cs="Segoe UI"/>
        </w:rPr>
        <w:t>testdata</w:t>
      </w:r>
      <w:r w:rsidR="00465EB9">
        <w:rPr>
          <w:rFonts w:cs="Segoe UI"/>
        </w:rPr>
        <w:t>)</w:t>
      </w:r>
    </w:p>
    <w:p w14:paraId="564E6ADB" w14:textId="48B0BDFF" w:rsidR="00A42280" w:rsidRDefault="00A42280" w:rsidP="000B7E62">
      <w:pPr>
        <w:pStyle w:val="ListParagraph"/>
        <w:numPr>
          <w:ilvl w:val="0"/>
          <w:numId w:val="14"/>
        </w:numPr>
        <w:rPr>
          <w:rFonts w:cs="Segoe UI"/>
        </w:rPr>
      </w:pPr>
      <w:r>
        <w:rPr>
          <w:rFonts w:cs="Segoe UI"/>
        </w:rPr>
        <w:t>Azure Synapse workspace</w:t>
      </w:r>
    </w:p>
    <w:p w14:paraId="3F75CCCF" w14:textId="12EAA7D9" w:rsidR="00533758" w:rsidRDefault="00533758" w:rsidP="000B7E62">
      <w:pPr>
        <w:pStyle w:val="ListParagraph"/>
        <w:numPr>
          <w:ilvl w:val="0"/>
          <w:numId w:val="14"/>
        </w:numPr>
        <w:rPr>
          <w:rFonts w:cs="Segoe UI"/>
        </w:rPr>
      </w:pPr>
      <w:r>
        <w:rPr>
          <w:rFonts w:cs="Segoe UI"/>
        </w:rPr>
        <w:t>Apache Spark pool</w:t>
      </w:r>
    </w:p>
    <w:p w14:paraId="5A49E742" w14:textId="27C8EAB5" w:rsidR="00533758" w:rsidRDefault="00533758" w:rsidP="000B7E62">
      <w:pPr>
        <w:pStyle w:val="ListParagraph"/>
        <w:numPr>
          <w:ilvl w:val="0"/>
          <w:numId w:val="14"/>
        </w:numPr>
        <w:rPr>
          <w:rFonts w:cs="Segoe UI"/>
        </w:rPr>
      </w:pPr>
      <w:r>
        <w:rPr>
          <w:rFonts w:cs="Segoe UI"/>
        </w:rPr>
        <w:t>Azure AD security groups</w:t>
      </w:r>
      <w:r w:rsidR="000B7E62">
        <w:rPr>
          <w:rFonts w:cs="Segoe UI"/>
        </w:rPr>
        <w:t>, with appropriate role assignments to access the storage account via Synapse studio</w:t>
      </w:r>
    </w:p>
    <w:p w14:paraId="61E0FBBE" w14:textId="77777777" w:rsidR="000B7E62" w:rsidRDefault="000B7E62" w:rsidP="000B7E62">
      <w:pPr>
        <w:pStyle w:val="ListParagraph"/>
        <w:ind w:left="720"/>
        <w:rPr>
          <w:rFonts w:cs="Segoe UI"/>
        </w:rPr>
      </w:pPr>
    </w:p>
    <w:p w14:paraId="71F23D78" w14:textId="31ECBD4B" w:rsidR="00893AB7" w:rsidRPr="00893AB7" w:rsidRDefault="00893AB7" w:rsidP="00893AB7">
      <w:pPr>
        <w:rPr>
          <w:rFonts w:cs="Segoe UI"/>
        </w:rPr>
      </w:pPr>
      <w:r>
        <w:rPr>
          <w:rFonts w:cs="Segoe UI"/>
        </w:rPr>
        <w:t>Pictured below are screenshots of the created resources:</w:t>
      </w:r>
    </w:p>
    <w:p w14:paraId="59156AD7" w14:textId="2E86C8C6" w:rsidR="00893AB7" w:rsidRDefault="00893AB7" w:rsidP="00893AB7">
      <w:pPr>
        <w:pStyle w:val="ListParagraph"/>
        <w:ind w:left="720"/>
        <w:rPr>
          <w:rFonts w:cs="Segoe UI"/>
        </w:rPr>
      </w:pPr>
      <w:r>
        <w:rPr>
          <w:noProof/>
        </w:rPr>
        <w:drawing>
          <wp:anchor distT="0" distB="0" distL="114300" distR="114300" simplePos="0" relativeHeight="251665409" behindDoc="0" locked="0" layoutInCell="1" allowOverlap="1" wp14:anchorId="11102668" wp14:editId="482D8558">
            <wp:simplePos x="0" y="0"/>
            <wp:positionH relativeFrom="column">
              <wp:posOffset>124692</wp:posOffset>
            </wp:positionH>
            <wp:positionV relativeFrom="paragraph">
              <wp:posOffset>36261</wp:posOffset>
            </wp:positionV>
            <wp:extent cx="5337958" cy="2066482"/>
            <wp:effectExtent l="0" t="0" r="0" b="0"/>
            <wp:wrapNone/>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23"/>
                    <a:stretch>
                      <a:fillRect/>
                    </a:stretch>
                  </pic:blipFill>
                  <pic:spPr>
                    <a:xfrm>
                      <a:off x="0" y="0"/>
                      <a:ext cx="5359100" cy="2074667"/>
                    </a:xfrm>
                    <a:prstGeom prst="rect">
                      <a:avLst/>
                    </a:prstGeom>
                  </pic:spPr>
                </pic:pic>
              </a:graphicData>
            </a:graphic>
            <wp14:sizeRelH relativeFrom="margin">
              <wp14:pctWidth>0</wp14:pctWidth>
            </wp14:sizeRelH>
            <wp14:sizeRelV relativeFrom="margin">
              <wp14:pctHeight>0</wp14:pctHeight>
            </wp14:sizeRelV>
          </wp:anchor>
        </w:drawing>
      </w:r>
    </w:p>
    <w:p w14:paraId="5810B900" w14:textId="14960C12" w:rsidR="00893AB7" w:rsidRDefault="00893AB7" w:rsidP="003D7EBC">
      <w:pPr>
        <w:rPr>
          <w:rFonts w:cs="Segoe UI"/>
        </w:rPr>
      </w:pPr>
    </w:p>
    <w:p w14:paraId="5B59C490" w14:textId="14DC2B47" w:rsidR="00893AB7" w:rsidRDefault="00893AB7" w:rsidP="003D7EBC">
      <w:pPr>
        <w:rPr>
          <w:rFonts w:cs="Segoe UI"/>
        </w:rPr>
      </w:pPr>
    </w:p>
    <w:p w14:paraId="4DE0E64C" w14:textId="47EFCC92" w:rsidR="00893AB7" w:rsidRDefault="00893AB7" w:rsidP="003D7EBC">
      <w:pPr>
        <w:rPr>
          <w:rFonts w:cs="Segoe UI"/>
        </w:rPr>
      </w:pPr>
    </w:p>
    <w:p w14:paraId="5587EA82" w14:textId="03D12BC0" w:rsidR="00893AB7" w:rsidRDefault="00893AB7" w:rsidP="003D7EBC">
      <w:pPr>
        <w:rPr>
          <w:rFonts w:cs="Segoe UI"/>
        </w:rPr>
      </w:pPr>
    </w:p>
    <w:p w14:paraId="0A8813BC" w14:textId="01BCF1EA" w:rsidR="00893AB7" w:rsidRDefault="00893AB7" w:rsidP="003D7EBC">
      <w:pPr>
        <w:rPr>
          <w:rFonts w:cs="Segoe UI"/>
        </w:rPr>
      </w:pPr>
    </w:p>
    <w:p w14:paraId="48994C50" w14:textId="3C117CA5" w:rsidR="00893AB7" w:rsidRDefault="00893AB7" w:rsidP="003D7EBC">
      <w:pPr>
        <w:rPr>
          <w:rFonts w:cs="Segoe UI"/>
        </w:rPr>
      </w:pPr>
    </w:p>
    <w:p w14:paraId="05E79FC9" w14:textId="21E98D55" w:rsidR="00893AB7" w:rsidRDefault="00893AB7" w:rsidP="003D7EBC">
      <w:pPr>
        <w:rPr>
          <w:rFonts w:cs="Segoe UI"/>
        </w:rPr>
      </w:pPr>
    </w:p>
    <w:p w14:paraId="17DFA8E8" w14:textId="7A5F9A81" w:rsidR="00893AB7" w:rsidRDefault="00893AB7" w:rsidP="003D7EBC">
      <w:pPr>
        <w:rPr>
          <w:rFonts w:cs="Segoe UI"/>
        </w:rPr>
      </w:pPr>
    </w:p>
    <w:p w14:paraId="40B738FB" w14:textId="5011C13C" w:rsidR="00893AB7" w:rsidRDefault="00893AB7" w:rsidP="003D7EBC">
      <w:pPr>
        <w:rPr>
          <w:rFonts w:cs="Segoe UI"/>
        </w:rPr>
      </w:pPr>
    </w:p>
    <w:p w14:paraId="542F02A6" w14:textId="2A856AB4" w:rsidR="00893AB7" w:rsidRDefault="00893AB7" w:rsidP="003D7EBC">
      <w:pPr>
        <w:rPr>
          <w:rFonts w:cs="Segoe UI"/>
        </w:rPr>
      </w:pPr>
    </w:p>
    <w:p w14:paraId="5B5B5168" w14:textId="594EF0B3" w:rsidR="00893AB7" w:rsidRDefault="00893AB7" w:rsidP="003D7EBC">
      <w:pPr>
        <w:rPr>
          <w:rFonts w:cs="Segoe UI"/>
        </w:rPr>
      </w:pPr>
    </w:p>
    <w:p w14:paraId="4474EEC6" w14:textId="54F90369" w:rsidR="00893AB7" w:rsidRDefault="00893AB7" w:rsidP="003D7EBC">
      <w:pPr>
        <w:rPr>
          <w:rFonts w:cs="Segoe UI"/>
        </w:rPr>
      </w:pPr>
    </w:p>
    <w:p w14:paraId="7004B90B" w14:textId="003BDC67" w:rsidR="00893AB7" w:rsidRDefault="00893AB7" w:rsidP="003D7EBC">
      <w:pPr>
        <w:rPr>
          <w:rFonts w:cs="Segoe UI"/>
        </w:rPr>
      </w:pPr>
    </w:p>
    <w:p w14:paraId="13830335" w14:textId="241ECD0B" w:rsidR="00893AB7" w:rsidRDefault="00893AB7" w:rsidP="003D7EBC">
      <w:pPr>
        <w:rPr>
          <w:rFonts w:cs="Segoe UI"/>
        </w:rPr>
      </w:pPr>
    </w:p>
    <w:p w14:paraId="4CACD719" w14:textId="6636CBFD" w:rsidR="00893AB7" w:rsidRDefault="00893AB7" w:rsidP="003D7EBC">
      <w:pPr>
        <w:rPr>
          <w:rFonts w:cs="Segoe UI"/>
        </w:rPr>
      </w:pPr>
      <w:r>
        <w:rPr>
          <w:noProof/>
        </w:rPr>
        <w:drawing>
          <wp:inline distT="0" distB="0" distL="0" distR="0" wp14:anchorId="5F3C8931" wp14:editId="4F76260A">
            <wp:extent cx="5677231" cy="1827753"/>
            <wp:effectExtent l="0" t="0" r="0" b="127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24"/>
                    <a:stretch>
                      <a:fillRect/>
                    </a:stretch>
                  </pic:blipFill>
                  <pic:spPr>
                    <a:xfrm>
                      <a:off x="0" y="0"/>
                      <a:ext cx="5705889" cy="1836979"/>
                    </a:xfrm>
                    <a:prstGeom prst="rect">
                      <a:avLst/>
                    </a:prstGeom>
                  </pic:spPr>
                </pic:pic>
              </a:graphicData>
            </a:graphic>
          </wp:inline>
        </w:drawing>
      </w:r>
    </w:p>
    <w:p w14:paraId="1FACE599" w14:textId="77777777" w:rsidR="00893AB7" w:rsidRDefault="00893AB7" w:rsidP="003D7EBC">
      <w:pPr>
        <w:rPr>
          <w:rFonts w:cs="Segoe UI"/>
        </w:rPr>
      </w:pPr>
    </w:p>
    <w:p w14:paraId="5A0FBFE3" w14:textId="14BFE4D0" w:rsidR="00893AB7" w:rsidRDefault="00893AB7" w:rsidP="003D7EBC">
      <w:pPr>
        <w:rPr>
          <w:rFonts w:cs="Segoe UI"/>
        </w:rPr>
      </w:pPr>
      <w:r>
        <w:rPr>
          <w:noProof/>
        </w:rPr>
        <w:drawing>
          <wp:inline distT="0" distB="0" distL="0" distR="0" wp14:anchorId="20B9B956" wp14:editId="4EE021B6">
            <wp:extent cx="3307742" cy="2869662"/>
            <wp:effectExtent l="0" t="0" r="6985" b="6985"/>
            <wp:docPr id="3" name="Picture 3"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email&#10;&#10;Description automatically generated"/>
                    <pic:cNvPicPr/>
                  </pic:nvPicPr>
                  <pic:blipFill>
                    <a:blip r:embed="rId25"/>
                    <a:stretch>
                      <a:fillRect/>
                    </a:stretch>
                  </pic:blipFill>
                  <pic:spPr>
                    <a:xfrm>
                      <a:off x="0" y="0"/>
                      <a:ext cx="3324805" cy="2884466"/>
                    </a:xfrm>
                    <a:prstGeom prst="rect">
                      <a:avLst/>
                    </a:prstGeom>
                  </pic:spPr>
                </pic:pic>
              </a:graphicData>
            </a:graphic>
          </wp:inline>
        </w:drawing>
      </w:r>
    </w:p>
    <w:p w14:paraId="48EBAE11" w14:textId="6226B046" w:rsidR="00893AB7" w:rsidRDefault="00893AB7" w:rsidP="003D7EBC">
      <w:pPr>
        <w:rPr>
          <w:rFonts w:cs="Segoe UI"/>
        </w:rPr>
      </w:pPr>
    </w:p>
    <w:p w14:paraId="014558F5" w14:textId="77777777" w:rsidR="00893AB7" w:rsidRDefault="00893AB7" w:rsidP="003D7EBC">
      <w:pPr>
        <w:rPr>
          <w:rFonts w:cs="Segoe UI"/>
        </w:rPr>
      </w:pPr>
    </w:p>
    <w:p w14:paraId="4ACF7CB0" w14:textId="77777777" w:rsidR="00893AB7" w:rsidRDefault="00893AB7" w:rsidP="003D7EBC">
      <w:pPr>
        <w:rPr>
          <w:rFonts w:cs="Segoe UI"/>
        </w:rPr>
      </w:pPr>
    </w:p>
    <w:p w14:paraId="65E5CB81" w14:textId="34E0C947" w:rsidR="00D20593" w:rsidRDefault="00D20593" w:rsidP="00D20593">
      <w:pPr>
        <w:pStyle w:val="Heading1"/>
      </w:pPr>
      <w:bookmarkStart w:id="3" w:name="_Toc57734327"/>
      <w:r>
        <w:lastRenderedPageBreak/>
        <w:t>2</w:t>
      </w:r>
      <w:r w:rsidRPr="003D7EBC">
        <w:t xml:space="preserve">) Setup </w:t>
      </w:r>
      <w:r w:rsidR="00893AB7">
        <w:t xml:space="preserve">of </w:t>
      </w:r>
      <w:r>
        <w:t>module</w:t>
      </w:r>
      <w:r w:rsidR="00893AB7">
        <w:t>s and/or packages</w:t>
      </w:r>
      <w:bookmarkEnd w:id="3"/>
    </w:p>
    <w:p w14:paraId="2C01FECF" w14:textId="682F269C" w:rsidR="004F5CA8" w:rsidRDefault="00BA05A0" w:rsidP="00BA05A0">
      <w:pPr>
        <w:pStyle w:val="Bodycopy"/>
      </w:pPr>
      <w:r>
        <w:t xml:space="preserve">The Open Edu Analytics solution provides a base architecture </w:t>
      </w:r>
      <w:r w:rsidR="004F5CA8">
        <w:t>as well as individual modules and packages.</w:t>
      </w:r>
    </w:p>
    <w:p w14:paraId="2CD6E4ED" w14:textId="5DC36998" w:rsidR="004F5CA8" w:rsidRDefault="004F5CA8" w:rsidP="00BA05A0">
      <w:pPr>
        <w:pStyle w:val="Bodycopy"/>
      </w:pPr>
      <w:r>
        <w:t>Modules provide assets for the processing and usage of data from a single data source, while packages provide a set of assets that incorporate data from one or more data sources.</w:t>
      </w:r>
      <w:r w:rsidR="00660717">
        <w:t xml:space="preserve"> Modules and packages can contain the same set of assets – the only distinction between the two is that modules are self-contained while packages have dependencies on one or more modules.</w:t>
      </w:r>
    </w:p>
    <w:p w14:paraId="6F154B73" w14:textId="77777777" w:rsidR="00660717" w:rsidRDefault="004F5CA8" w:rsidP="00660717">
      <w:pPr>
        <w:pStyle w:val="Bodycopy"/>
        <w:spacing w:after="0"/>
      </w:pPr>
      <w:r>
        <w:t>Modules and packages follow a standard structure which includes</w:t>
      </w:r>
      <w:r w:rsidR="00660717">
        <w:t>:</w:t>
      </w:r>
    </w:p>
    <w:p w14:paraId="2A849020" w14:textId="6DAA0C60" w:rsidR="00660717" w:rsidRDefault="004F5CA8" w:rsidP="00660717">
      <w:pPr>
        <w:pStyle w:val="Bodycopy"/>
        <w:numPr>
          <w:ilvl w:val="0"/>
          <w:numId w:val="16"/>
        </w:numPr>
        <w:spacing w:after="0"/>
      </w:pPr>
      <w:r>
        <w:t>a readme.md for basic documentation</w:t>
      </w:r>
    </w:p>
    <w:p w14:paraId="2FA9A022" w14:textId="4FB89B1F" w:rsidR="005070D2" w:rsidRDefault="005070D2" w:rsidP="00660717">
      <w:pPr>
        <w:pStyle w:val="Bodycopy"/>
        <w:numPr>
          <w:ilvl w:val="0"/>
          <w:numId w:val="16"/>
        </w:numPr>
        <w:spacing w:after="0"/>
      </w:pPr>
      <w:r>
        <w:t xml:space="preserve">a setup.sh script to be used </w:t>
      </w:r>
      <w:r>
        <w:t xml:space="preserve">for automated deployment from </w:t>
      </w:r>
      <w:hyperlink r:id="rId26" w:anchor="overview" w:history="1">
        <w:r w:rsidRPr="005070D2">
          <w:rPr>
            <w:rStyle w:val="Hyperlink"/>
          </w:rPr>
          <w:t>cloud shell</w:t>
        </w:r>
      </w:hyperlink>
    </w:p>
    <w:p w14:paraId="0ECE003D" w14:textId="7297D30A" w:rsidR="00660717" w:rsidRDefault="00660717" w:rsidP="00660717">
      <w:pPr>
        <w:pStyle w:val="Bodycopy"/>
        <w:numPr>
          <w:ilvl w:val="0"/>
          <w:numId w:val="16"/>
        </w:numPr>
        <w:spacing w:after="0"/>
      </w:pPr>
      <w:r>
        <w:t xml:space="preserve">a </w:t>
      </w:r>
      <w:r w:rsidR="005070D2">
        <w:t>notebooks</w:t>
      </w:r>
      <w:r>
        <w:t xml:space="preserve"> folder for </w:t>
      </w:r>
      <w:r w:rsidR="005070D2">
        <w:t>Synapse notebooks</w:t>
      </w:r>
    </w:p>
    <w:p w14:paraId="09FD9971" w14:textId="051DC0B6" w:rsidR="00BA05A0" w:rsidRDefault="005070D2" w:rsidP="00660717">
      <w:pPr>
        <w:pStyle w:val="Bodycopy"/>
        <w:numPr>
          <w:ilvl w:val="0"/>
          <w:numId w:val="16"/>
        </w:numPr>
        <w:spacing w:after="0"/>
      </w:pPr>
      <w:r>
        <w:t>a powerbi folder for Power BI assets (this is optional)</w:t>
      </w:r>
    </w:p>
    <w:p w14:paraId="5CA2852E" w14:textId="61DC2188" w:rsidR="00BA05A0" w:rsidRDefault="00BA05A0" w:rsidP="00BA05A0">
      <w:pPr>
        <w:pStyle w:val="Bodycopy"/>
      </w:pPr>
    </w:p>
    <w:p w14:paraId="604E2157" w14:textId="5DEDA03B" w:rsidR="00BA05A0" w:rsidRDefault="00BA05A0" w:rsidP="00BA05A0">
      <w:pPr>
        <w:pStyle w:val="Heading1"/>
      </w:pPr>
      <w:bookmarkStart w:id="4" w:name="_Toc57734328"/>
      <w:r>
        <w:t>3</w:t>
      </w:r>
      <w:r w:rsidRPr="003D7EBC">
        <w:t xml:space="preserve">) </w:t>
      </w:r>
      <w:r>
        <w:t>Connect</w:t>
      </w:r>
      <w:r w:rsidRPr="003D7EBC">
        <w:t xml:space="preserve"> </w:t>
      </w:r>
      <w:r>
        <w:t>Power BI workspace</w:t>
      </w:r>
      <w:bookmarkEnd w:id="4"/>
    </w:p>
    <w:p w14:paraId="0028DFAA" w14:textId="18B2B6AC" w:rsidR="00BA05A0" w:rsidRDefault="00BA05A0" w:rsidP="00BA05A0">
      <w:pPr>
        <w:pStyle w:val="Bodycopy"/>
      </w:pPr>
      <w:r>
        <w:t>To connect your Power BI workspace to Synapse so that it is accessible from with Synapse studio, login to Synapse studio and click on “Manage”, then select “Linked services”, then click on “Connect to Power BI” and complete the form with the connection info to your Power BI workspace.</w:t>
      </w:r>
    </w:p>
    <w:p w14:paraId="515CE4CE" w14:textId="479145B8" w:rsidR="00BA05A0" w:rsidRDefault="00BA05A0" w:rsidP="00BA05A0">
      <w:pPr>
        <w:pStyle w:val="Bodycopy"/>
      </w:pPr>
      <w:r>
        <w:rPr>
          <w:noProof/>
        </w:rPr>
        <w:drawing>
          <wp:inline distT="0" distB="0" distL="0" distR="0" wp14:anchorId="1304A7CE" wp14:editId="0AE9D4B1">
            <wp:extent cx="5756744" cy="2255258"/>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27"/>
                    <a:stretch>
                      <a:fillRect/>
                    </a:stretch>
                  </pic:blipFill>
                  <pic:spPr>
                    <a:xfrm>
                      <a:off x="0" y="0"/>
                      <a:ext cx="5767354" cy="2259415"/>
                    </a:xfrm>
                    <a:prstGeom prst="rect">
                      <a:avLst/>
                    </a:prstGeom>
                  </pic:spPr>
                </pic:pic>
              </a:graphicData>
            </a:graphic>
          </wp:inline>
        </w:drawing>
      </w:r>
    </w:p>
    <w:p w14:paraId="2B2C7F42" w14:textId="46C9FE51" w:rsidR="00BA05A0" w:rsidRDefault="00BA05A0" w:rsidP="00BA05A0">
      <w:pPr>
        <w:pStyle w:val="Bodycopy"/>
      </w:pPr>
    </w:p>
    <w:p w14:paraId="4E2E510D" w14:textId="02259313" w:rsidR="00BA05A0" w:rsidRPr="00BA05A0" w:rsidRDefault="00BA05A0" w:rsidP="00BA05A0">
      <w:pPr>
        <w:pStyle w:val="Bodycopy"/>
      </w:pPr>
      <w:r>
        <w:t xml:space="preserve">For more details see: </w:t>
      </w:r>
      <w:hyperlink r:id="rId28" w:history="1">
        <w:r w:rsidRPr="00BA05A0">
          <w:rPr>
            <w:rStyle w:val="Hyperlink"/>
          </w:rPr>
          <w:t>Linking a Power BI workspace to a Synapse workspace</w:t>
        </w:r>
      </w:hyperlink>
    </w:p>
    <w:p w14:paraId="54FF46DB" w14:textId="77777777" w:rsidR="00BA05A0" w:rsidRPr="00BA05A0" w:rsidRDefault="00BA05A0" w:rsidP="00BA05A0">
      <w:pPr>
        <w:pStyle w:val="Bodycopy"/>
      </w:pPr>
    </w:p>
    <w:p w14:paraId="75D4FC11" w14:textId="27742A48" w:rsidR="00893AB7" w:rsidRPr="00893AB7" w:rsidRDefault="00893AB7" w:rsidP="00893AB7">
      <w:pPr>
        <w:pStyle w:val="Bodycopy"/>
      </w:pPr>
    </w:p>
    <w:p w14:paraId="58B723C8" w14:textId="0991C495" w:rsidR="00A42280" w:rsidRDefault="00A42280">
      <w:pPr>
        <w:spacing w:line="240" w:lineRule="auto"/>
        <w:rPr>
          <w:rFonts w:cs="Segoe UI"/>
        </w:rPr>
      </w:pPr>
      <w:r>
        <w:rPr>
          <w:rFonts w:cs="Segoe UI"/>
        </w:rPr>
        <w:br w:type="page"/>
      </w:r>
    </w:p>
    <w:p w14:paraId="382F451F" w14:textId="5D474761" w:rsidR="00BA05A0" w:rsidRDefault="00BA05A0">
      <w:pPr>
        <w:spacing w:line="240" w:lineRule="auto"/>
        <w:rPr>
          <w:rFonts w:cs="Segoe UI"/>
        </w:rPr>
      </w:pPr>
    </w:p>
    <w:p w14:paraId="128A2D1B" w14:textId="77777777" w:rsidR="00BA05A0" w:rsidRDefault="00BA05A0">
      <w:pPr>
        <w:spacing w:line="240" w:lineRule="auto"/>
        <w:rPr>
          <w:rFonts w:cs="Segoe UI"/>
        </w:rPr>
      </w:pPr>
    </w:p>
    <w:p w14:paraId="56F34C1F" w14:textId="77777777" w:rsidR="00E14BF1" w:rsidRDefault="00E14BF1" w:rsidP="00DF4958"/>
    <w:p w14:paraId="2453E47F" w14:textId="77777777" w:rsidR="00E14BF1" w:rsidRDefault="00E14BF1" w:rsidP="00DF4958"/>
    <w:p w14:paraId="34FB9586" w14:textId="77777777" w:rsidR="00E14BF1" w:rsidRPr="00E14BF1" w:rsidRDefault="00E14BF1" w:rsidP="00E14BF1">
      <w:pPr>
        <w:rPr>
          <w:i/>
          <w:iCs/>
        </w:rPr>
      </w:pPr>
      <w:r w:rsidRPr="00E14BF1">
        <w:rPr>
          <w:i/>
          <w:iCs/>
        </w:rPr>
        <w:t xml:space="preserve">This is a preliminary document and may be changed substantially prior to final commercial release of the software described herein. </w:t>
      </w:r>
    </w:p>
    <w:p w14:paraId="32A418A9" w14:textId="77777777" w:rsidR="00E14BF1" w:rsidRPr="00E14BF1" w:rsidRDefault="00E14BF1" w:rsidP="00E14BF1">
      <w:pPr>
        <w:rPr>
          <w:i/>
          <w:iCs/>
        </w:rPr>
      </w:pPr>
      <w:r w:rsidRPr="00E14BF1">
        <w:rPr>
          <w:i/>
          <w:iCs/>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5C52E336" w14:textId="77777777" w:rsidR="00E14BF1" w:rsidRPr="00E14BF1" w:rsidRDefault="00E14BF1" w:rsidP="00E14BF1">
      <w:pPr>
        <w:rPr>
          <w:i/>
          <w:iCs/>
        </w:rPr>
      </w:pPr>
      <w:r w:rsidRPr="00E14BF1">
        <w:rPr>
          <w:i/>
          <w:iCs/>
        </w:rPr>
        <w:t>This white paper is for informational purposes only. Microsoft makes no warranties, express or implied, in this document.</w:t>
      </w:r>
    </w:p>
    <w:p w14:paraId="72E363F5" w14:textId="77777777" w:rsidR="00E14BF1" w:rsidRPr="00E14BF1" w:rsidRDefault="00E14BF1" w:rsidP="00E14BF1">
      <w:pPr>
        <w:rPr>
          <w:i/>
          <w:iCs/>
        </w:rPr>
      </w:pPr>
      <w:r w:rsidRPr="00E14BF1">
        <w:rPr>
          <w:i/>
          <w:iCs/>
        </w:rPr>
        <w:t>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187EA9F0" w14:textId="77777777" w:rsidR="00E14BF1" w:rsidRPr="00E14BF1" w:rsidRDefault="00E14BF1" w:rsidP="00E14BF1">
      <w:pPr>
        <w:rPr>
          <w:i/>
          <w:iCs/>
        </w:rPr>
      </w:pPr>
      <w:r w:rsidRPr="00E14BF1">
        <w:rPr>
          <w:i/>
          <w:iCs/>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3CF587D4" w14:textId="4E4A2072" w:rsidR="00E14BF1" w:rsidRPr="00E14BF1" w:rsidRDefault="00E14BF1" w:rsidP="00E14BF1">
      <w:pPr>
        <w:rPr>
          <w:i/>
          <w:iCs/>
        </w:rPr>
      </w:pPr>
      <w:r w:rsidRPr="00E14BF1">
        <w:rPr>
          <w:i/>
          <w:iCs/>
        </w:rPr>
        <w:t>© 2020 Microsoft Corporation. All rights reserved</w:t>
      </w:r>
    </w:p>
    <w:sectPr w:rsidR="00E14BF1" w:rsidRPr="00E14BF1" w:rsidSect="00504994">
      <w:headerReference w:type="default" r:id="rId29"/>
      <w:footerReference w:type="default" r:id="rId30"/>
      <w:headerReference w:type="first" r:id="rId31"/>
      <w:footerReference w:type="first" r:id="rId32"/>
      <w:pgSz w:w="12240" w:h="15840" w:code="1"/>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6CC45F" w14:textId="77777777" w:rsidR="00B7709B" w:rsidRDefault="00B7709B" w:rsidP="00B85670">
      <w:pPr>
        <w:spacing w:line="240" w:lineRule="auto"/>
      </w:pPr>
      <w:r>
        <w:separator/>
      </w:r>
    </w:p>
  </w:endnote>
  <w:endnote w:type="continuationSeparator" w:id="0">
    <w:p w14:paraId="2C243DD2" w14:textId="77777777" w:rsidR="00B7709B" w:rsidRDefault="00B7709B" w:rsidP="00B85670">
      <w:pPr>
        <w:spacing w:line="240" w:lineRule="auto"/>
      </w:pPr>
      <w:r>
        <w:continuationSeparator/>
      </w:r>
    </w:p>
  </w:endnote>
  <w:endnote w:type="continuationNotice" w:id="1">
    <w:p w14:paraId="76006A44" w14:textId="77777777" w:rsidR="00B7709B" w:rsidRDefault="00B7709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6DD67" w14:textId="15C3EF35" w:rsidR="00B22BC1" w:rsidRDefault="00504994">
    <w:pPr>
      <w:pStyle w:val="Footer"/>
    </w:pPr>
    <w:r>
      <w:t>Edu Analytics Implementation Guide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4DFDE" w14:textId="6831DCBF" w:rsidR="00AD5C07" w:rsidRDefault="003D7EBC" w:rsidP="00504994">
    <w:pPr>
      <w:pStyle w:val="Footer"/>
    </w:pPr>
    <w:r>
      <w:fldChar w:fldCharType="begin"/>
    </w:r>
    <w:r>
      <w:instrText xml:space="preserve"> PAGE   \* MERGEFORMAT </w:instrText>
    </w:r>
    <w:r>
      <w:fldChar w:fldCharType="separate"/>
    </w:r>
    <w:r w:rsidR="00165636">
      <w:rPr>
        <w:noProof/>
      </w:rPr>
      <w:t>3</w:t>
    </w:r>
    <w:r>
      <w:rPr>
        <w:noProof/>
      </w:rPr>
      <w:fldChar w:fldCharType="end"/>
    </w:r>
    <w:r w:rsidR="00B22BC1">
      <w:tab/>
    </w:r>
    <w:r w:rsidR="00504994">
      <w:t>Edu Analytics Implementation Guide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35D318" w14:textId="77777777" w:rsidR="00AD5C07" w:rsidRDefault="00AD5C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79FBC8" w14:textId="77777777" w:rsidR="00B7709B" w:rsidRDefault="00B7709B" w:rsidP="00B85670">
      <w:pPr>
        <w:spacing w:line="240" w:lineRule="auto"/>
      </w:pPr>
      <w:r>
        <w:separator/>
      </w:r>
    </w:p>
  </w:footnote>
  <w:footnote w:type="continuationSeparator" w:id="0">
    <w:p w14:paraId="5885071A" w14:textId="77777777" w:rsidR="00B7709B" w:rsidRDefault="00B7709B" w:rsidP="00B85670">
      <w:pPr>
        <w:spacing w:line="240" w:lineRule="auto"/>
      </w:pPr>
      <w:r>
        <w:continuationSeparator/>
      </w:r>
    </w:p>
  </w:footnote>
  <w:footnote w:type="continuationNotice" w:id="1">
    <w:p w14:paraId="5F270188" w14:textId="77777777" w:rsidR="00B7709B" w:rsidRDefault="00B7709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9A7808" w14:textId="77777777" w:rsidR="00B85670" w:rsidRDefault="00B85670" w:rsidP="00B85670">
    <w:pPr>
      <w:pStyle w:val="Header"/>
      <w:spacing w:after="3360"/>
    </w:pPr>
    <w:r>
      <w:rPr>
        <w:noProof/>
      </w:rPr>
      <w:drawing>
        <wp:anchor distT="0" distB="0" distL="114300" distR="114300" simplePos="0" relativeHeight="251658240" behindDoc="1" locked="1" layoutInCell="0" allowOverlap="1" wp14:anchorId="39D9FF06" wp14:editId="7B196DCE">
          <wp:simplePos x="0" y="0"/>
          <wp:positionH relativeFrom="page">
            <wp:posOffset>457835</wp:posOffset>
          </wp:positionH>
          <wp:positionV relativeFrom="page">
            <wp:posOffset>457200</wp:posOffset>
          </wp:positionV>
          <wp:extent cx="1369060" cy="292100"/>
          <wp:effectExtent l="19050" t="0" r="2540" b="0"/>
          <wp:wrapNone/>
          <wp:docPr id="44" name="Picture 0" descr="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logo.png"/>
                  <pic:cNvPicPr/>
                </pic:nvPicPr>
                <pic:blipFill>
                  <a:blip r:embed="rId1"/>
                  <a:stretch>
                    <a:fillRect/>
                  </a:stretch>
                </pic:blipFill>
                <pic:spPr>
                  <a:xfrm>
                    <a:off x="0" y="0"/>
                    <a:ext cx="1369060" cy="2921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4C4AC9" w14:textId="77777777" w:rsidR="00AD5C07" w:rsidRDefault="00AD5C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4438F" w14:textId="77777777" w:rsidR="00AD5C07" w:rsidRDefault="00AD5C07" w:rsidP="00AD5C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B34B7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118E17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07A99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E3E3E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E6051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AC64F4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4A2F88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CE7DC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32BD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BAA46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7B489E"/>
    <w:multiLevelType w:val="hybridMultilevel"/>
    <w:tmpl w:val="CC766D86"/>
    <w:lvl w:ilvl="0" w:tplc="5FD036D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04108E"/>
    <w:multiLevelType w:val="hybridMultilevel"/>
    <w:tmpl w:val="7658A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00518E"/>
    <w:multiLevelType w:val="hybridMultilevel"/>
    <w:tmpl w:val="194259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E518FE"/>
    <w:multiLevelType w:val="hybridMultilevel"/>
    <w:tmpl w:val="7C0C4A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912A52"/>
    <w:multiLevelType w:val="hybridMultilevel"/>
    <w:tmpl w:val="CCA0A982"/>
    <w:lvl w:ilvl="0" w:tplc="00A0627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B0566F"/>
    <w:multiLevelType w:val="hybridMultilevel"/>
    <w:tmpl w:val="0E08A746"/>
    <w:lvl w:ilvl="0" w:tplc="126E851C">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0"/>
  </w:num>
  <w:num w:numId="12">
    <w:abstractNumId w:val="14"/>
  </w:num>
  <w:num w:numId="13">
    <w:abstractNumId w:val="13"/>
  </w:num>
  <w:num w:numId="14">
    <w:abstractNumId w:val="12"/>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attachedTemplate r:id="rId1"/>
  <w:stylePaneFormatFilter w:val="9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1"/>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491"/>
    <w:rsid w:val="00003C47"/>
    <w:rsid w:val="000409EA"/>
    <w:rsid w:val="00044308"/>
    <w:rsid w:val="00055BF3"/>
    <w:rsid w:val="000745D0"/>
    <w:rsid w:val="00092E4D"/>
    <w:rsid w:val="000A0277"/>
    <w:rsid w:val="000A1D80"/>
    <w:rsid w:val="000B095A"/>
    <w:rsid w:val="000B14EF"/>
    <w:rsid w:val="000B6912"/>
    <w:rsid w:val="000B7BBE"/>
    <w:rsid w:val="000B7E62"/>
    <w:rsid w:val="000C75E0"/>
    <w:rsid w:val="000D6D10"/>
    <w:rsid w:val="000E0D27"/>
    <w:rsid w:val="00130149"/>
    <w:rsid w:val="00134C38"/>
    <w:rsid w:val="00147EA4"/>
    <w:rsid w:val="00165636"/>
    <w:rsid w:val="00165CC3"/>
    <w:rsid w:val="00172200"/>
    <w:rsid w:val="0018021B"/>
    <w:rsid w:val="001872A6"/>
    <w:rsid w:val="00192B86"/>
    <w:rsid w:val="001C4E58"/>
    <w:rsid w:val="001C5448"/>
    <w:rsid w:val="001D52A7"/>
    <w:rsid w:val="001E5E30"/>
    <w:rsid w:val="001E7549"/>
    <w:rsid w:val="00243A0B"/>
    <w:rsid w:val="0024447F"/>
    <w:rsid w:val="00246795"/>
    <w:rsid w:val="002477BE"/>
    <w:rsid w:val="00247A67"/>
    <w:rsid w:val="00275852"/>
    <w:rsid w:val="002760D2"/>
    <w:rsid w:val="002B240F"/>
    <w:rsid w:val="002E0C2D"/>
    <w:rsid w:val="002F37F1"/>
    <w:rsid w:val="00322F73"/>
    <w:rsid w:val="003669FE"/>
    <w:rsid w:val="003743E6"/>
    <w:rsid w:val="0037729C"/>
    <w:rsid w:val="003908C3"/>
    <w:rsid w:val="003A5BE9"/>
    <w:rsid w:val="003D3C28"/>
    <w:rsid w:val="003D4A9F"/>
    <w:rsid w:val="003D7EBC"/>
    <w:rsid w:val="003E7925"/>
    <w:rsid w:val="003F1E94"/>
    <w:rsid w:val="0041236E"/>
    <w:rsid w:val="00422AC4"/>
    <w:rsid w:val="00426E9D"/>
    <w:rsid w:val="004447D4"/>
    <w:rsid w:val="004478FF"/>
    <w:rsid w:val="00447A21"/>
    <w:rsid w:val="00462FCA"/>
    <w:rsid w:val="00465EB9"/>
    <w:rsid w:val="00481904"/>
    <w:rsid w:val="004A3327"/>
    <w:rsid w:val="004B6CEE"/>
    <w:rsid w:val="004C3C7D"/>
    <w:rsid w:val="004E45F6"/>
    <w:rsid w:val="004F5CA8"/>
    <w:rsid w:val="005000D4"/>
    <w:rsid w:val="00504994"/>
    <w:rsid w:val="005070D2"/>
    <w:rsid w:val="00526160"/>
    <w:rsid w:val="00533758"/>
    <w:rsid w:val="005342EA"/>
    <w:rsid w:val="005348A2"/>
    <w:rsid w:val="00537383"/>
    <w:rsid w:val="00540AAD"/>
    <w:rsid w:val="00550B79"/>
    <w:rsid w:val="00561D15"/>
    <w:rsid w:val="00570EA2"/>
    <w:rsid w:val="0057316E"/>
    <w:rsid w:val="005945F1"/>
    <w:rsid w:val="005B011C"/>
    <w:rsid w:val="005B2DD9"/>
    <w:rsid w:val="005C1DE6"/>
    <w:rsid w:val="005D6465"/>
    <w:rsid w:val="005D6C17"/>
    <w:rsid w:val="005E320F"/>
    <w:rsid w:val="005E3850"/>
    <w:rsid w:val="00615555"/>
    <w:rsid w:val="00616C6F"/>
    <w:rsid w:val="00617053"/>
    <w:rsid w:val="00624BA5"/>
    <w:rsid w:val="00643F8D"/>
    <w:rsid w:val="00653BFA"/>
    <w:rsid w:val="00654F72"/>
    <w:rsid w:val="00660717"/>
    <w:rsid w:val="006925A1"/>
    <w:rsid w:val="00694C31"/>
    <w:rsid w:val="006B2E24"/>
    <w:rsid w:val="006C4304"/>
    <w:rsid w:val="006E3F30"/>
    <w:rsid w:val="006F02AA"/>
    <w:rsid w:val="00703748"/>
    <w:rsid w:val="00714A6E"/>
    <w:rsid w:val="00723D76"/>
    <w:rsid w:val="007427A6"/>
    <w:rsid w:val="00744B85"/>
    <w:rsid w:val="00761513"/>
    <w:rsid w:val="00762F3B"/>
    <w:rsid w:val="007661AD"/>
    <w:rsid w:val="007750FA"/>
    <w:rsid w:val="00777F61"/>
    <w:rsid w:val="00781255"/>
    <w:rsid w:val="00783245"/>
    <w:rsid w:val="0079025D"/>
    <w:rsid w:val="007929BB"/>
    <w:rsid w:val="007B1E49"/>
    <w:rsid w:val="007C3C0D"/>
    <w:rsid w:val="007C7223"/>
    <w:rsid w:val="007E0A13"/>
    <w:rsid w:val="007E0A49"/>
    <w:rsid w:val="007E0E51"/>
    <w:rsid w:val="00806F30"/>
    <w:rsid w:val="008408BD"/>
    <w:rsid w:val="00845C5B"/>
    <w:rsid w:val="008531E2"/>
    <w:rsid w:val="00860039"/>
    <w:rsid w:val="008749AF"/>
    <w:rsid w:val="0087544E"/>
    <w:rsid w:val="00891D75"/>
    <w:rsid w:val="00893AB7"/>
    <w:rsid w:val="00897213"/>
    <w:rsid w:val="008B6D6F"/>
    <w:rsid w:val="008D2A85"/>
    <w:rsid w:val="00935011"/>
    <w:rsid w:val="00940108"/>
    <w:rsid w:val="00964499"/>
    <w:rsid w:val="00967491"/>
    <w:rsid w:val="00970AFF"/>
    <w:rsid w:val="0097235F"/>
    <w:rsid w:val="00977E96"/>
    <w:rsid w:val="00990877"/>
    <w:rsid w:val="0099242D"/>
    <w:rsid w:val="00994A6F"/>
    <w:rsid w:val="009C1B91"/>
    <w:rsid w:val="009E5E28"/>
    <w:rsid w:val="009F6807"/>
    <w:rsid w:val="00A32ECC"/>
    <w:rsid w:val="00A3775A"/>
    <w:rsid w:val="00A42280"/>
    <w:rsid w:val="00A65E5C"/>
    <w:rsid w:val="00A840A2"/>
    <w:rsid w:val="00AC067E"/>
    <w:rsid w:val="00AC3A62"/>
    <w:rsid w:val="00AD5C07"/>
    <w:rsid w:val="00AE50C2"/>
    <w:rsid w:val="00AF36DF"/>
    <w:rsid w:val="00AF74CA"/>
    <w:rsid w:val="00B012A7"/>
    <w:rsid w:val="00B22BC1"/>
    <w:rsid w:val="00B52DF6"/>
    <w:rsid w:val="00B57D33"/>
    <w:rsid w:val="00B57E5B"/>
    <w:rsid w:val="00B615BD"/>
    <w:rsid w:val="00B75FEC"/>
    <w:rsid w:val="00B7709B"/>
    <w:rsid w:val="00B85670"/>
    <w:rsid w:val="00BA05A0"/>
    <w:rsid w:val="00BA709A"/>
    <w:rsid w:val="00BB59AE"/>
    <w:rsid w:val="00BF0678"/>
    <w:rsid w:val="00C20D99"/>
    <w:rsid w:val="00C3242B"/>
    <w:rsid w:val="00C41B6F"/>
    <w:rsid w:val="00C67304"/>
    <w:rsid w:val="00C77794"/>
    <w:rsid w:val="00CA0546"/>
    <w:rsid w:val="00CA3A19"/>
    <w:rsid w:val="00CC57AD"/>
    <w:rsid w:val="00CC5DBA"/>
    <w:rsid w:val="00CD7E08"/>
    <w:rsid w:val="00CF123E"/>
    <w:rsid w:val="00D02DDC"/>
    <w:rsid w:val="00D17847"/>
    <w:rsid w:val="00D20593"/>
    <w:rsid w:val="00D23865"/>
    <w:rsid w:val="00D26019"/>
    <w:rsid w:val="00D527E4"/>
    <w:rsid w:val="00D75E43"/>
    <w:rsid w:val="00D76F2D"/>
    <w:rsid w:val="00D91938"/>
    <w:rsid w:val="00DA67E1"/>
    <w:rsid w:val="00DB5F5D"/>
    <w:rsid w:val="00DD455C"/>
    <w:rsid w:val="00DF32F7"/>
    <w:rsid w:val="00DF4958"/>
    <w:rsid w:val="00E13C73"/>
    <w:rsid w:val="00E14BF1"/>
    <w:rsid w:val="00E354C5"/>
    <w:rsid w:val="00E53FB3"/>
    <w:rsid w:val="00E54BA9"/>
    <w:rsid w:val="00E56031"/>
    <w:rsid w:val="00E600BE"/>
    <w:rsid w:val="00E862AB"/>
    <w:rsid w:val="00ED7C3F"/>
    <w:rsid w:val="00EE4FCC"/>
    <w:rsid w:val="00EE5F67"/>
    <w:rsid w:val="00EF2EF7"/>
    <w:rsid w:val="00F00E9F"/>
    <w:rsid w:val="00F01441"/>
    <w:rsid w:val="00FB772D"/>
    <w:rsid w:val="00FD4F99"/>
    <w:rsid w:val="014819C4"/>
    <w:rsid w:val="0A0A05B6"/>
    <w:rsid w:val="0B5917A0"/>
    <w:rsid w:val="0F6F12F7"/>
    <w:rsid w:val="10345727"/>
    <w:rsid w:val="11F902FD"/>
    <w:rsid w:val="1C14B6BA"/>
    <w:rsid w:val="1C495C50"/>
    <w:rsid w:val="1D53D06F"/>
    <w:rsid w:val="2041DC83"/>
    <w:rsid w:val="233FDBCC"/>
    <w:rsid w:val="29AF1D50"/>
    <w:rsid w:val="2B4AEDB1"/>
    <w:rsid w:val="2CB98DBF"/>
    <w:rsid w:val="2FF12E81"/>
    <w:rsid w:val="310FC3E7"/>
    <w:rsid w:val="32A8566D"/>
    <w:rsid w:val="386BD644"/>
    <w:rsid w:val="38F00359"/>
    <w:rsid w:val="39C4122A"/>
    <w:rsid w:val="3A800FF2"/>
    <w:rsid w:val="3C27A41B"/>
    <w:rsid w:val="3F477E41"/>
    <w:rsid w:val="3F734CD3"/>
    <w:rsid w:val="41642BE3"/>
    <w:rsid w:val="427F1F03"/>
    <w:rsid w:val="441A6180"/>
    <w:rsid w:val="448A85F5"/>
    <w:rsid w:val="45938471"/>
    <w:rsid w:val="45E28E57"/>
    <w:rsid w:val="49FDFCD1"/>
    <w:rsid w:val="4A176C79"/>
    <w:rsid w:val="4DC186EF"/>
    <w:rsid w:val="56C7641D"/>
    <w:rsid w:val="56E02FD2"/>
    <w:rsid w:val="5E2E3770"/>
    <w:rsid w:val="5EE6C1B4"/>
    <w:rsid w:val="6EFC6FEC"/>
    <w:rsid w:val="6FA667CE"/>
    <w:rsid w:val="6FAC6AE0"/>
    <w:rsid w:val="756BB170"/>
    <w:rsid w:val="76764C0B"/>
    <w:rsid w:val="792C81A8"/>
    <w:rsid w:val="79C6F112"/>
    <w:rsid w:val="79E78CFF"/>
    <w:rsid w:val="7D4C31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E3869C"/>
  <w15:docId w15:val="{621F5B64-4C6D-4271-A265-1C21124D2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4"/>
    <w:qFormat/>
    <w:rsid w:val="003908C3"/>
    <w:pPr>
      <w:spacing w:line="240" w:lineRule="atLeast"/>
    </w:pPr>
    <w:rPr>
      <w:rFonts w:ascii="Segoe UI" w:hAnsi="Segoe UI"/>
      <w:sz w:val="18"/>
    </w:rPr>
  </w:style>
  <w:style w:type="paragraph" w:styleId="Heading1">
    <w:name w:val="heading 1"/>
    <w:next w:val="Bodycopy"/>
    <w:link w:val="Heading1Char"/>
    <w:uiPriority w:val="1"/>
    <w:qFormat/>
    <w:rsid w:val="00B22BC1"/>
    <w:pPr>
      <w:spacing w:after="160" w:line="720" w:lineRule="exact"/>
      <w:outlineLvl w:val="0"/>
    </w:pPr>
    <w:rPr>
      <w:rFonts w:ascii="Segoe UI Light" w:eastAsia="Times New Roman" w:hAnsi="Segoe UI Light" w:cs="Times New Roman"/>
      <w:color w:val="0054A6" w:themeColor="text2"/>
      <w:kern w:val="36"/>
      <w:sz w:val="60"/>
      <w:szCs w:val="39"/>
    </w:rPr>
  </w:style>
  <w:style w:type="paragraph" w:styleId="Heading2">
    <w:name w:val="heading 2"/>
    <w:next w:val="Bodycopy"/>
    <w:link w:val="Heading2Char"/>
    <w:uiPriority w:val="1"/>
    <w:qFormat/>
    <w:rsid w:val="00B22BC1"/>
    <w:pPr>
      <w:keepNext/>
      <w:keepLines/>
      <w:spacing w:before="240" w:after="120" w:line="260" w:lineRule="atLeast"/>
      <w:outlineLvl w:val="1"/>
    </w:pPr>
    <w:rPr>
      <w:rFonts w:ascii="Segoe UI" w:eastAsiaTheme="majorEastAsia" w:hAnsi="Segoe UI" w:cstheme="majorBidi"/>
      <w:b/>
      <w:bCs/>
      <w:color w:val="231F2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025D"/>
    <w:rPr>
      <w:rFonts w:ascii="Tahoma" w:hAnsi="Tahoma" w:cs="Tahoma"/>
      <w:sz w:val="16"/>
      <w:szCs w:val="16"/>
    </w:rPr>
  </w:style>
  <w:style w:type="character" w:customStyle="1" w:styleId="BalloonTextChar">
    <w:name w:val="Balloon Text Char"/>
    <w:basedOn w:val="DefaultParagraphFont"/>
    <w:link w:val="BalloonText"/>
    <w:uiPriority w:val="99"/>
    <w:semiHidden/>
    <w:rsid w:val="0079025D"/>
    <w:rPr>
      <w:rFonts w:ascii="Tahoma" w:hAnsi="Tahoma" w:cs="Tahoma"/>
      <w:sz w:val="16"/>
      <w:szCs w:val="16"/>
    </w:rPr>
  </w:style>
  <w:style w:type="character" w:customStyle="1" w:styleId="Heading1Char">
    <w:name w:val="Heading 1 Char"/>
    <w:basedOn w:val="DefaultParagraphFont"/>
    <w:link w:val="Heading1"/>
    <w:uiPriority w:val="1"/>
    <w:rsid w:val="00DA67E1"/>
    <w:rPr>
      <w:rFonts w:ascii="Segoe UI Light" w:eastAsia="Times New Roman" w:hAnsi="Segoe UI Light" w:cs="Times New Roman"/>
      <w:color w:val="0054A6" w:themeColor="text2"/>
      <w:kern w:val="36"/>
      <w:sz w:val="60"/>
      <w:szCs w:val="39"/>
    </w:rPr>
  </w:style>
  <w:style w:type="paragraph" w:customStyle="1" w:styleId="ecxmsonormal">
    <w:name w:val="ecxmsonormal"/>
    <w:basedOn w:val="Normal"/>
    <w:semiHidden/>
    <w:unhideWhenUsed/>
    <w:rsid w:val="0079025D"/>
    <w:pPr>
      <w:spacing w:after="324"/>
    </w:pPr>
    <w:rPr>
      <w:rFonts w:ascii="Times New Roman" w:eastAsia="Times New Roman" w:hAnsi="Times New Roman" w:cs="Times New Roman"/>
      <w:sz w:val="24"/>
      <w:szCs w:val="24"/>
    </w:rPr>
  </w:style>
  <w:style w:type="character" w:styleId="Hyperlink">
    <w:name w:val="Hyperlink"/>
    <w:basedOn w:val="DefaultParagraphFont"/>
    <w:uiPriority w:val="99"/>
    <w:rsid w:val="0079025D"/>
    <w:rPr>
      <w:color w:val="0000FF" w:themeColor="hyperlink"/>
      <w:u w:val="single"/>
    </w:rPr>
  </w:style>
  <w:style w:type="paragraph" w:styleId="Title">
    <w:name w:val="Title"/>
    <w:basedOn w:val="Normal"/>
    <w:next w:val="Normal"/>
    <w:link w:val="TitleChar"/>
    <w:uiPriority w:val="10"/>
    <w:semiHidden/>
    <w:unhideWhenUsed/>
    <w:rsid w:val="00624BA5"/>
    <w:pPr>
      <w:pBdr>
        <w:bottom w:val="single" w:sz="8" w:space="4" w:color="4F81BD" w:themeColor="accent1"/>
      </w:pBdr>
      <w:spacing w:after="300"/>
      <w:contextualSpacing/>
    </w:pPr>
    <w:rPr>
      <w:rFonts w:asciiTheme="majorHAnsi" w:eastAsiaTheme="majorEastAsia" w:hAnsiTheme="majorHAnsi" w:cstheme="majorBidi"/>
      <w:color w:val="003E7C" w:themeColor="text2" w:themeShade="BF"/>
      <w:spacing w:val="5"/>
      <w:kern w:val="28"/>
      <w:sz w:val="52"/>
      <w:szCs w:val="52"/>
    </w:rPr>
  </w:style>
  <w:style w:type="character" w:customStyle="1" w:styleId="TitleChar">
    <w:name w:val="Title Char"/>
    <w:basedOn w:val="DefaultParagraphFont"/>
    <w:link w:val="Title"/>
    <w:uiPriority w:val="10"/>
    <w:semiHidden/>
    <w:rsid w:val="00624BA5"/>
    <w:rPr>
      <w:rFonts w:asciiTheme="majorHAnsi" w:eastAsiaTheme="majorEastAsia" w:hAnsiTheme="majorHAnsi" w:cstheme="majorBidi"/>
      <w:color w:val="003E7C" w:themeColor="text2" w:themeShade="BF"/>
      <w:spacing w:val="5"/>
      <w:kern w:val="28"/>
      <w:sz w:val="52"/>
      <w:szCs w:val="52"/>
    </w:rPr>
  </w:style>
  <w:style w:type="paragraph" w:styleId="Subtitle">
    <w:name w:val="Subtitle"/>
    <w:basedOn w:val="Normal"/>
    <w:next w:val="Normal"/>
    <w:link w:val="SubtitleChar"/>
    <w:uiPriority w:val="11"/>
    <w:semiHidden/>
    <w:unhideWhenUsed/>
    <w:rsid w:val="00624BA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624BA5"/>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semiHidden/>
    <w:unhideWhenUsed/>
    <w:rsid w:val="00624BA5"/>
    <w:rPr>
      <w:i/>
      <w:iCs/>
      <w:color w:val="ABACAE" w:themeColor="text1" w:themeTint="7F"/>
    </w:rPr>
  </w:style>
  <w:style w:type="character" w:styleId="Emphasis">
    <w:name w:val="Emphasis"/>
    <w:basedOn w:val="DefaultParagraphFont"/>
    <w:uiPriority w:val="20"/>
    <w:semiHidden/>
    <w:unhideWhenUsed/>
    <w:rsid w:val="00624BA5"/>
    <w:rPr>
      <w:i/>
      <w:iCs/>
    </w:rPr>
  </w:style>
  <w:style w:type="character" w:styleId="IntenseEmphasis">
    <w:name w:val="Intense Emphasis"/>
    <w:basedOn w:val="DefaultParagraphFont"/>
    <w:uiPriority w:val="21"/>
    <w:semiHidden/>
    <w:unhideWhenUsed/>
    <w:rsid w:val="00624BA5"/>
    <w:rPr>
      <w:b/>
      <w:bCs/>
      <w:i/>
      <w:iCs/>
      <w:color w:val="4F81BD" w:themeColor="accent1"/>
    </w:rPr>
  </w:style>
  <w:style w:type="character" w:styleId="Strong">
    <w:name w:val="Strong"/>
    <w:basedOn w:val="DefaultParagraphFont"/>
    <w:uiPriority w:val="22"/>
    <w:semiHidden/>
    <w:unhideWhenUsed/>
    <w:rsid w:val="00624BA5"/>
    <w:rPr>
      <w:b/>
      <w:bCs/>
    </w:rPr>
  </w:style>
  <w:style w:type="paragraph" w:styleId="Quote">
    <w:name w:val="Quote"/>
    <w:basedOn w:val="Normal"/>
    <w:next w:val="Normal"/>
    <w:link w:val="QuoteChar"/>
    <w:uiPriority w:val="29"/>
    <w:semiHidden/>
    <w:unhideWhenUsed/>
    <w:rsid w:val="00624BA5"/>
    <w:rPr>
      <w:i/>
      <w:iCs/>
      <w:color w:val="58595B" w:themeColor="text1"/>
    </w:rPr>
  </w:style>
  <w:style w:type="character" w:customStyle="1" w:styleId="QuoteChar">
    <w:name w:val="Quote Char"/>
    <w:basedOn w:val="DefaultParagraphFont"/>
    <w:link w:val="Quote"/>
    <w:uiPriority w:val="29"/>
    <w:semiHidden/>
    <w:rsid w:val="00624BA5"/>
    <w:rPr>
      <w:i/>
      <w:iCs/>
      <w:color w:val="58595B" w:themeColor="text1"/>
    </w:rPr>
  </w:style>
  <w:style w:type="paragraph" w:styleId="IntenseQuote">
    <w:name w:val="Intense Quote"/>
    <w:basedOn w:val="Normal"/>
    <w:next w:val="Normal"/>
    <w:link w:val="IntenseQuoteChar"/>
    <w:uiPriority w:val="30"/>
    <w:semiHidden/>
    <w:unhideWhenUsed/>
    <w:rsid w:val="00624BA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624BA5"/>
    <w:rPr>
      <w:b/>
      <w:bCs/>
      <w:i/>
      <w:iCs/>
      <w:color w:val="4F81BD" w:themeColor="accent1"/>
    </w:rPr>
  </w:style>
  <w:style w:type="character" w:styleId="SubtleReference">
    <w:name w:val="Subtle Reference"/>
    <w:basedOn w:val="DefaultParagraphFont"/>
    <w:uiPriority w:val="31"/>
    <w:semiHidden/>
    <w:unhideWhenUsed/>
    <w:rsid w:val="00624BA5"/>
    <w:rPr>
      <w:smallCaps/>
      <w:color w:val="C0504D" w:themeColor="accent2"/>
      <w:u w:val="single"/>
    </w:rPr>
  </w:style>
  <w:style w:type="character" w:styleId="IntenseReference">
    <w:name w:val="Intense Reference"/>
    <w:basedOn w:val="DefaultParagraphFont"/>
    <w:uiPriority w:val="32"/>
    <w:semiHidden/>
    <w:unhideWhenUsed/>
    <w:rsid w:val="00624BA5"/>
    <w:rPr>
      <w:b/>
      <w:bCs/>
      <w:smallCaps/>
      <w:color w:val="C0504D" w:themeColor="accent2"/>
      <w:spacing w:val="5"/>
      <w:u w:val="single"/>
    </w:rPr>
  </w:style>
  <w:style w:type="character" w:styleId="BookTitle">
    <w:name w:val="Book Title"/>
    <w:basedOn w:val="DefaultParagraphFont"/>
    <w:uiPriority w:val="33"/>
    <w:semiHidden/>
    <w:unhideWhenUsed/>
    <w:rsid w:val="00624BA5"/>
    <w:rPr>
      <w:b/>
      <w:bCs/>
      <w:smallCaps/>
      <w:spacing w:val="5"/>
    </w:rPr>
  </w:style>
  <w:style w:type="paragraph" w:styleId="ListParagraph">
    <w:name w:val="List Paragraph"/>
    <w:basedOn w:val="Normal"/>
    <w:uiPriority w:val="34"/>
    <w:unhideWhenUsed/>
    <w:qFormat/>
    <w:rsid w:val="00624BA5"/>
  </w:style>
  <w:style w:type="paragraph" w:styleId="NoSpacing">
    <w:name w:val="No Spacing"/>
    <w:uiPriority w:val="1"/>
    <w:semiHidden/>
    <w:unhideWhenUsed/>
    <w:rsid w:val="00624BA5"/>
  </w:style>
  <w:style w:type="table" w:styleId="TableGrid">
    <w:name w:val="Table Grid"/>
    <w:basedOn w:val="TableNormal"/>
    <w:uiPriority w:val="59"/>
    <w:rsid w:val="00D76F2D"/>
    <w:rPr>
      <w:sz w:val="20"/>
    </w:rPr>
    <w:tblPr>
      <w:tblCellMar>
        <w:left w:w="0" w:type="dxa"/>
        <w:right w:w="0" w:type="dxa"/>
      </w:tblCellMar>
    </w:tblPr>
    <w:trPr>
      <w:cantSplit/>
    </w:trPr>
  </w:style>
  <w:style w:type="paragraph" w:customStyle="1" w:styleId="Bodycopy">
    <w:name w:val="Body copy"/>
    <w:basedOn w:val="Normal"/>
    <w:uiPriority w:val="3"/>
    <w:qFormat/>
    <w:rsid w:val="007750FA"/>
    <w:pPr>
      <w:spacing w:after="120"/>
    </w:pPr>
    <w:rPr>
      <w:rFonts w:eastAsia="Times New Roman" w:cs="Times New Roman"/>
      <w:szCs w:val="20"/>
    </w:rPr>
  </w:style>
  <w:style w:type="character" w:customStyle="1" w:styleId="Heading2Char">
    <w:name w:val="Heading 2 Char"/>
    <w:basedOn w:val="DefaultParagraphFont"/>
    <w:link w:val="Heading2"/>
    <w:uiPriority w:val="1"/>
    <w:rsid w:val="00DA67E1"/>
    <w:rPr>
      <w:rFonts w:ascii="Segoe UI" w:eastAsiaTheme="majorEastAsia" w:hAnsi="Segoe UI" w:cstheme="majorBidi"/>
      <w:b/>
      <w:bCs/>
      <w:color w:val="231F20"/>
      <w:sz w:val="20"/>
      <w:szCs w:val="26"/>
    </w:rPr>
  </w:style>
  <w:style w:type="paragraph" w:styleId="Header">
    <w:name w:val="header"/>
    <w:basedOn w:val="Normal"/>
    <w:link w:val="HeaderChar"/>
    <w:uiPriority w:val="99"/>
    <w:unhideWhenUsed/>
    <w:rsid w:val="00B85670"/>
    <w:pPr>
      <w:tabs>
        <w:tab w:val="center" w:pos="4680"/>
        <w:tab w:val="right" w:pos="9360"/>
      </w:tabs>
      <w:spacing w:line="240" w:lineRule="auto"/>
    </w:pPr>
  </w:style>
  <w:style w:type="character" w:customStyle="1" w:styleId="HeaderChar">
    <w:name w:val="Header Char"/>
    <w:basedOn w:val="DefaultParagraphFont"/>
    <w:link w:val="Header"/>
    <w:uiPriority w:val="99"/>
    <w:rsid w:val="00B85670"/>
    <w:rPr>
      <w:rFonts w:ascii="Segoe UI" w:hAnsi="Segoe UI"/>
      <w:sz w:val="18"/>
    </w:rPr>
  </w:style>
  <w:style w:type="paragraph" w:styleId="Footer">
    <w:name w:val="footer"/>
    <w:link w:val="FooterChar"/>
    <w:uiPriority w:val="99"/>
    <w:unhideWhenUsed/>
    <w:rsid w:val="000E0D27"/>
    <w:pPr>
      <w:tabs>
        <w:tab w:val="center" w:pos="4680"/>
        <w:tab w:val="right" w:pos="9360"/>
      </w:tabs>
    </w:pPr>
    <w:rPr>
      <w:rFonts w:ascii="Segoe UI" w:hAnsi="Segoe UI"/>
      <w:color w:val="0054A6" w:themeColor="text2"/>
      <w:sz w:val="14"/>
    </w:rPr>
  </w:style>
  <w:style w:type="character" w:customStyle="1" w:styleId="FooterChar">
    <w:name w:val="Footer Char"/>
    <w:basedOn w:val="DefaultParagraphFont"/>
    <w:link w:val="Footer"/>
    <w:uiPriority w:val="99"/>
    <w:rsid w:val="000E0D27"/>
    <w:rPr>
      <w:rFonts w:ascii="Segoe UI" w:hAnsi="Segoe UI"/>
      <w:color w:val="0054A6" w:themeColor="text2"/>
      <w:sz w:val="14"/>
    </w:rPr>
  </w:style>
  <w:style w:type="paragraph" w:customStyle="1" w:styleId="DocumentTitle">
    <w:name w:val="Document Title"/>
    <w:rsid w:val="006B2E24"/>
    <w:pPr>
      <w:spacing w:line="1040" w:lineRule="atLeast"/>
      <w:ind w:right="-1584"/>
    </w:pPr>
    <w:rPr>
      <w:rFonts w:ascii="Segoe UI Light" w:eastAsia="Times New Roman" w:hAnsi="Segoe UI Light" w:cs="Times New Roman"/>
      <w:color w:val="0054A6" w:themeColor="text2"/>
      <w:sz w:val="88"/>
      <w:szCs w:val="20"/>
    </w:rPr>
  </w:style>
  <w:style w:type="paragraph" w:customStyle="1" w:styleId="Introductorycopy">
    <w:name w:val="Introductory copy"/>
    <w:uiPriority w:val="2"/>
    <w:qFormat/>
    <w:rsid w:val="00B22BC1"/>
    <w:pPr>
      <w:spacing w:line="320" w:lineRule="atLeast"/>
    </w:pPr>
    <w:rPr>
      <w:rFonts w:ascii="Segoe UI" w:eastAsia="Times New Roman" w:hAnsi="Segoe UI" w:cs="Times New Roman"/>
      <w:szCs w:val="20"/>
    </w:rPr>
  </w:style>
  <w:style w:type="paragraph" w:styleId="Caption">
    <w:name w:val="caption"/>
    <w:basedOn w:val="Normal"/>
    <w:uiPriority w:val="7"/>
    <w:qFormat/>
    <w:rsid w:val="00044308"/>
    <w:pPr>
      <w:spacing w:line="180" w:lineRule="atLeast"/>
    </w:pPr>
    <w:rPr>
      <w:i/>
      <w:sz w:val="14"/>
    </w:rPr>
  </w:style>
  <w:style w:type="paragraph" w:customStyle="1" w:styleId="Legalese">
    <w:name w:val="Legalese"/>
    <w:uiPriority w:val="8"/>
    <w:qFormat/>
    <w:rsid w:val="000E0D27"/>
    <w:pPr>
      <w:spacing w:after="120" w:line="180" w:lineRule="atLeast"/>
    </w:pPr>
    <w:rPr>
      <w:rFonts w:ascii="Segoe UI" w:eastAsia="Times New Roman" w:hAnsi="Segoe UI" w:cs="Times New Roman"/>
      <w:color w:val="58595B" w:themeColor="text1"/>
      <w:sz w:val="14"/>
      <w:szCs w:val="20"/>
    </w:rPr>
  </w:style>
  <w:style w:type="paragraph" w:styleId="TOC1">
    <w:name w:val="toc 1"/>
    <w:basedOn w:val="Normal"/>
    <w:next w:val="Normal"/>
    <w:uiPriority w:val="39"/>
    <w:unhideWhenUsed/>
    <w:rsid w:val="006B2E24"/>
    <w:pPr>
      <w:tabs>
        <w:tab w:val="right" w:leader="dot" w:pos="7020"/>
      </w:tabs>
      <w:spacing w:before="240" w:after="100"/>
    </w:pPr>
  </w:style>
  <w:style w:type="paragraph" w:styleId="TOC2">
    <w:name w:val="toc 2"/>
    <w:basedOn w:val="Normal"/>
    <w:next w:val="Normal"/>
    <w:uiPriority w:val="39"/>
    <w:unhideWhenUsed/>
    <w:rsid w:val="001C4E58"/>
    <w:pPr>
      <w:spacing w:after="100"/>
      <w:ind w:left="180"/>
    </w:pPr>
  </w:style>
  <w:style w:type="paragraph" w:customStyle="1" w:styleId="Celltoholdimage">
    <w:name w:val="Cell to hold image"/>
    <w:basedOn w:val="Normal"/>
    <w:uiPriority w:val="6"/>
    <w:qFormat/>
    <w:rsid w:val="008749AF"/>
    <w:pPr>
      <w:spacing w:line="240" w:lineRule="auto"/>
      <w:ind w:left="-29"/>
    </w:pPr>
    <w:rPr>
      <w:rFonts w:eastAsia="Times New Roman" w:cs="Times New Roman"/>
      <w:szCs w:val="20"/>
    </w:rPr>
  </w:style>
  <w:style w:type="table" w:customStyle="1" w:styleId="MSBRANDtable">
    <w:name w:val="MS BRAND table"/>
    <w:basedOn w:val="TableNormal"/>
    <w:uiPriority w:val="99"/>
    <w:qFormat/>
    <w:rsid w:val="008749AF"/>
    <w:rPr>
      <w:rFonts w:asciiTheme="minorHAnsi" w:hAnsiTheme="minorHAnsi"/>
      <w:sz w:val="18"/>
    </w:rPr>
    <w:tblPr>
      <w:tblInd w:w="144" w:type="dxa"/>
      <w:tblBorders>
        <w:bottom w:val="single" w:sz="4" w:space="0" w:color="58595B" w:themeColor="text1"/>
        <w:insideH w:val="single" w:sz="4" w:space="0" w:color="58595B" w:themeColor="text1"/>
      </w:tblBorders>
      <w:tblCellMar>
        <w:top w:w="58" w:type="dxa"/>
        <w:left w:w="144" w:type="dxa"/>
        <w:bottom w:w="58" w:type="dxa"/>
        <w:right w:w="144" w:type="dxa"/>
      </w:tblCellMar>
    </w:tblPr>
    <w:tcPr>
      <w:shd w:val="clear" w:color="auto" w:fill="auto"/>
    </w:tcPr>
    <w:tblStylePr w:type="firstRow">
      <w:rPr>
        <w:rFonts w:asciiTheme="minorHAnsi" w:hAnsiTheme="minorHAnsi"/>
        <w:color w:val="FFFFFF"/>
        <w:sz w:val="22"/>
      </w:rPr>
      <w:tblPr/>
      <w:tcPr>
        <w:shd w:val="clear" w:color="auto" w:fill="0054A6" w:themeFill="text2"/>
      </w:tcPr>
    </w:tblStylePr>
  </w:style>
  <w:style w:type="paragraph" w:customStyle="1" w:styleId="TableHeadings--11pt">
    <w:name w:val="Table Headings -- 11 pt"/>
    <w:basedOn w:val="Normal"/>
    <w:uiPriority w:val="5"/>
    <w:qFormat/>
    <w:rsid w:val="000D6D10"/>
    <w:rPr>
      <w:color w:val="FFFFFF"/>
      <w:sz w:val="22"/>
    </w:rPr>
  </w:style>
  <w:style w:type="paragraph" w:styleId="CommentText">
    <w:name w:val="annotation text"/>
    <w:basedOn w:val="Normal"/>
    <w:link w:val="CommentTextChar"/>
    <w:uiPriority w:val="99"/>
    <w:unhideWhenUsed/>
    <w:rsid w:val="003D7EBC"/>
    <w:pPr>
      <w:spacing w:after="16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rsid w:val="003D7EBC"/>
    <w:rPr>
      <w:rFonts w:asciiTheme="minorHAnsi" w:hAnsiTheme="minorHAnsi"/>
      <w:sz w:val="20"/>
      <w:szCs w:val="20"/>
    </w:rPr>
  </w:style>
  <w:style w:type="character" w:styleId="CommentReference">
    <w:name w:val="annotation reference"/>
    <w:basedOn w:val="DefaultParagraphFont"/>
    <w:uiPriority w:val="99"/>
    <w:semiHidden/>
    <w:unhideWhenUsed/>
    <w:rsid w:val="003D7EBC"/>
    <w:rPr>
      <w:sz w:val="16"/>
      <w:szCs w:val="16"/>
    </w:rPr>
  </w:style>
  <w:style w:type="character" w:styleId="UnresolvedMention">
    <w:name w:val="Unresolved Mention"/>
    <w:basedOn w:val="DefaultParagraphFont"/>
    <w:uiPriority w:val="99"/>
    <w:semiHidden/>
    <w:unhideWhenUsed/>
    <w:rsid w:val="00643F8D"/>
    <w:rPr>
      <w:color w:val="605E5C"/>
      <w:shd w:val="clear" w:color="auto" w:fill="E1DFDD"/>
    </w:rPr>
  </w:style>
  <w:style w:type="character" w:styleId="FollowedHyperlink">
    <w:name w:val="FollowedHyperlink"/>
    <w:basedOn w:val="DefaultParagraphFont"/>
    <w:uiPriority w:val="99"/>
    <w:semiHidden/>
    <w:unhideWhenUsed/>
    <w:rsid w:val="00D260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0280">
      <w:bodyDiv w:val="1"/>
      <w:marLeft w:val="0"/>
      <w:marRight w:val="0"/>
      <w:marTop w:val="0"/>
      <w:marBottom w:val="0"/>
      <w:divBdr>
        <w:top w:val="none" w:sz="0" w:space="0" w:color="auto"/>
        <w:left w:val="none" w:sz="0" w:space="0" w:color="auto"/>
        <w:bottom w:val="none" w:sz="0" w:space="0" w:color="auto"/>
        <w:right w:val="none" w:sz="0" w:space="0" w:color="auto"/>
      </w:divBdr>
      <w:divsChild>
        <w:div w:id="1495562432">
          <w:marLeft w:val="0"/>
          <w:marRight w:val="0"/>
          <w:marTop w:val="0"/>
          <w:marBottom w:val="0"/>
          <w:divBdr>
            <w:top w:val="none" w:sz="0" w:space="0" w:color="auto"/>
            <w:left w:val="none" w:sz="0" w:space="0" w:color="auto"/>
            <w:bottom w:val="none" w:sz="0" w:space="0" w:color="auto"/>
            <w:right w:val="none" w:sz="0" w:space="0" w:color="auto"/>
          </w:divBdr>
          <w:divsChild>
            <w:div w:id="1828521319">
              <w:marLeft w:val="0"/>
              <w:marRight w:val="0"/>
              <w:marTop w:val="0"/>
              <w:marBottom w:val="0"/>
              <w:divBdr>
                <w:top w:val="none" w:sz="0" w:space="0" w:color="auto"/>
                <w:left w:val="none" w:sz="0" w:space="0" w:color="auto"/>
                <w:bottom w:val="none" w:sz="0" w:space="0" w:color="auto"/>
                <w:right w:val="none" w:sz="0" w:space="0" w:color="auto"/>
              </w:divBdr>
              <w:divsChild>
                <w:div w:id="2069450557">
                  <w:marLeft w:val="0"/>
                  <w:marRight w:val="0"/>
                  <w:marTop w:val="0"/>
                  <w:marBottom w:val="0"/>
                  <w:divBdr>
                    <w:top w:val="none" w:sz="0" w:space="0" w:color="auto"/>
                    <w:left w:val="none" w:sz="0" w:space="0" w:color="auto"/>
                    <w:bottom w:val="none" w:sz="0" w:space="0" w:color="auto"/>
                    <w:right w:val="none" w:sz="0" w:space="0" w:color="auto"/>
                  </w:divBdr>
                  <w:divsChild>
                    <w:div w:id="744651137">
                      <w:marLeft w:val="0"/>
                      <w:marRight w:val="0"/>
                      <w:marTop w:val="0"/>
                      <w:marBottom w:val="0"/>
                      <w:divBdr>
                        <w:top w:val="none" w:sz="0" w:space="0" w:color="auto"/>
                        <w:left w:val="none" w:sz="0" w:space="0" w:color="auto"/>
                        <w:bottom w:val="none" w:sz="0" w:space="0" w:color="auto"/>
                        <w:right w:val="none" w:sz="0" w:space="0" w:color="auto"/>
                      </w:divBdr>
                      <w:divsChild>
                        <w:div w:id="1838111378">
                          <w:marLeft w:val="0"/>
                          <w:marRight w:val="0"/>
                          <w:marTop w:val="0"/>
                          <w:marBottom w:val="0"/>
                          <w:divBdr>
                            <w:top w:val="none" w:sz="0" w:space="0" w:color="auto"/>
                            <w:left w:val="none" w:sz="0" w:space="0" w:color="auto"/>
                            <w:bottom w:val="none" w:sz="0" w:space="0" w:color="auto"/>
                            <w:right w:val="none" w:sz="0" w:space="0" w:color="auto"/>
                          </w:divBdr>
                          <w:divsChild>
                            <w:div w:id="1687780060">
                              <w:marLeft w:val="0"/>
                              <w:marRight w:val="0"/>
                              <w:marTop w:val="0"/>
                              <w:marBottom w:val="0"/>
                              <w:divBdr>
                                <w:top w:val="none" w:sz="0" w:space="0" w:color="auto"/>
                                <w:left w:val="none" w:sz="0" w:space="0" w:color="auto"/>
                                <w:bottom w:val="none" w:sz="0" w:space="0" w:color="auto"/>
                                <w:right w:val="none" w:sz="0" w:space="0" w:color="auto"/>
                              </w:divBdr>
                              <w:divsChild>
                                <w:div w:id="85394528">
                                  <w:marLeft w:val="0"/>
                                  <w:marRight w:val="0"/>
                                  <w:marTop w:val="0"/>
                                  <w:marBottom w:val="0"/>
                                  <w:divBdr>
                                    <w:top w:val="none" w:sz="0" w:space="0" w:color="auto"/>
                                    <w:left w:val="none" w:sz="0" w:space="0" w:color="auto"/>
                                    <w:bottom w:val="none" w:sz="0" w:space="0" w:color="auto"/>
                                    <w:right w:val="none" w:sz="0" w:space="0" w:color="auto"/>
                                  </w:divBdr>
                                  <w:divsChild>
                                    <w:div w:id="1998222224">
                                      <w:marLeft w:val="0"/>
                                      <w:marRight w:val="0"/>
                                      <w:marTop w:val="0"/>
                                      <w:marBottom w:val="0"/>
                                      <w:divBdr>
                                        <w:top w:val="none" w:sz="0" w:space="0" w:color="auto"/>
                                        <w:left w:val="none" w:sz="0" w:space="0" w:color="auto"/>
                                        <w:bottom w:val="none" w:sz="0" w:space="0" w:color="auto"/>
                                        <w:right w:val="none" w:sz="0" w:space="0" w:color="auto"/>
                                      </w:divBdr>
                                      <w:divsChild>
                                        <w:div w:id="584529960">
                                          <w:marLeft w:val="0"/>
                                          <w:marRight w:val="0"/>
                                          <w:marTop w:val="0"/>
                                          <w:marBottom w:val="0"/>
                                          <w:divBdr>
                                            <w:top w:val="none" w:sz="0" w:space="0" w:color="auto"/>
                                            <w:left w:val="none" w:sz="0" w:space="0" w:color="auto"/>
                                            <w:bottom w:val="none" w:sz="0" w:space="0" w:color="auto"/>
                                            <w:right w:val="none" w:sz="0" w:space="0" w:color="auto"/>
                                          </w:divBdr>
                                          <w:divsChild>
                                            <w:div w:id="936865927">
                                              <w:marLeft w:val="0"/>
                                              <w:marRight w:val="0"/>
                                              <w:marTop w:val="0"/>
                                              <w:marBottom w:val="0"/>
                                              <w:divBdr>
                                                <w:top w:val="none" w:sz="0" w:space="0" w:color="auto"/>
                                                <w:left w:val="none" w:sz="0" w:space="0" w:color="auto"/>
                                                <w:bottom w:val="none" w:sz="0" w:space="0" w:color="auto"/>
                                                <w:right w:val="none" w:sz="0" w:space="0" w:color="auto"/>
                                              </w:divBdr>
                                              <w:divsChild>
                                                <w:div w:id="1767533083">
                                                  <w:marLeft w:val="0"/>
                                                  <w:marRight w:val="0"/>
                                                  <w:marTop w:val="0"/>
                                                  <w:marBottom w:val="0"/>
                                                  <w:divBdr>
                                                    <w:top w:val="none" w:sz="0" w:space="0" w:color="auto"/>
                                                    <w:left w:val="none" w:sz="0" w:space="0" w:color="auto"/>
                                                    <w:bottom w:val="none" w:sz="0" w:space="0" w:color="auto"/>
                                                    <w:right w:val="none" w:sz="0" w:space="0" w:color="auto"/>
                                                  </w:divBdr>
                                                  <w:divsChild>
                                                    <w:div w:id="2119762406">
                                                      <w:marLeft w:val="0"/>
                                                      <w:marRight w:val="75"/>
                                                      <w:marTop w:val="0"/>
                                                      <w:marBottom w:val="0"/>
                                                      <w:divBdr>
                                                        <w:top w:val="none" w:sz="0" w:space="0" w:color="auto"/>
                                                        <w:left w:val="none" w:sz="0" w:space="0" w:color="auto"/>
                                                        <w:bottom w:val="none" w:sz="0" w:space="0" w:color="auto"/>
                                                        <w:right w:val="none" w:sz="0" w:space="0" w:color="auto"/>
                                                      </w:divBdr>
                                                      <w:divsChild>
                                                        <w:div w:id="194386712">
                                                          <w:marLeft w:val="0"/>
                                                          <w:marRight w:val="0"/>
                                                          <w:marTop w:val="0"/>
                                                          <w:marBottom w:val="0"/>
                                                          <w:divBdr>
                                                            <w:top w:val="none" w:sz="0" w:space="0" w:color="auto"/>
                                                            <w:left w:val="none" w:sz="0" w:space="0" w:color="auto"/>
                                                            <w:bottom w:val="none" w:sz="0" w:space="0" w:color="auto"/>
                                                            <w:right w:val="none" w:sz="0" w:space="0" w:color="auto"/>
                                                          </w:divBdr>
                                                          <w:divsChild>
                                                            <w:div w:id="1739208902">
                                                              <w:marLeft w:val="0"/>
                                                              <w:marRight w:val="0"/>
                                                              <w:marTop w:val="0"/>
                                                              <w:marBottom w:val="0"/>
                                                              <w:divBdr>
                                                                <w:top w:val="none" w:sz="0" w:space="0" w:color="auto"/>
                                                                <w:left w:val="none" w:sz="0" w:space="0" w:color="auto"/>
                                                                <w:bottom w:val="none" w:sz="0" w:space="0" w:color="auto"/>
                                                                <w:right w:val="none" w:sz="0" w:space="0" w:color="auto"/>
                                                              </w:divBdr>
                                                              <w:divsChild>
                                                                <w:div w:id="870336433">
                                                                  <w:marLeft w:val="0"/>
                                                                  <w:marRight w:val="0"/>
                                                                  <w:marTop w:val="0"/>
                                                                  <w:marBottom w:val="0"/>
                                                                  <w:divBdr>
                                                                    <w:top w:val="none" w:sz="0" w:space="0" w:color="auto"/>
                                                                    <w:left w:val="none" w:sz="0" w:space="0" w:color="auto"/>
                                                                    <w:bottom w:val="none" w:sz="0" w:space="0" w:color="auto"/>
                                                                    <w:right w:val="none" w:sz="0" w:space="0" w:color="auto"/>
                                                                  </w:divBdr>
                                                                  <w:divsChild>
                                                                    <w:div w:id="1381707213">
                                                                      <w:marLeft w:val="0"/>
                                                                      <w:marRight w:val="0"/>
                                                                      <w:marTop w:val="0"/>
                                                                      <w:marBottom w:val="88"/>
                                                                      <w:divBdr>
                                                                        <w:top w:val="single" w:sz="4" w:space="0" w:color="EDEDED"/>
                                                                        <w:left w:val="single" w:sz="4" w:space="0" w:color="EDEDED"/>
                                                                        <w:bottom w:val="single" w:sz="4" w:space="0" w:color="EDEDED"/>
                                                                        <w:right w:val="single" w:sz="4" w:space="0" w:color="EDEDED"/>
                                                                      </w:divBdr>
                                                                      <w:divsChild>
                                                                        <w:div w:id="514156860">
                                                                          <w:marLeft w:val="0"/>
                                                                          <w:marRight w:val="0"/>
                                                                          <w:marTop w:val="0"/>
                                                                          <w:marBottom w:val="0"/>
                                                                          <w:divBdr>
                                                                            <w:top w:val="none" w:sz="0" w:space="0" w:color="auto"/>
                                                                            <w:left w:val="none" w:sz="0" w:space="0" w:color="auto"/>
                                                                            <w:bottom w:val="none" w:sz="0" w:space="0" w:color="auto"/>
                                                                            <w:right w:val="none" w:sz="0" w:space="0" w:color="auto"/>
                                                                          </w:divBdr>
                                                                          <w:divsChild>
                                                                            <w:div w:id="1652565492">
                                                                              <w:marLeft w:val="0"/>
                                                                              <w:marRight w:val="0"/>
                                                                              <w:marTop w:val="0"/>
                                                                              <w:marBottom w:val="0"/>
                                                                              <w:divBdr>
                                                                                <w:top w:val="none" w:sz="0" w:space="0" w:color="auto"/>
                                                                                <w:left w:val="none" w:sz="0" w:space="0" w:color="auto"/>
                                                                                <w:bottom w:val="none" w:sz="0" w:space="0" w:color="auto"/>
                                                                                <w:right w:val="none" w:sz="0" w:space="0" w:color="auto"/>
                                                                              </w:divBdr>
                                                                              <w:divsChild>
                                                                                <w:div w:id="881867089">
                                                                                  <w:marLeft w:val="0"/>
                                                                                  <w:marRight w:val="0"/>
                                                                                  <w:marTop w:val="0"/>
                                                                                  <w:marBottom w:val="0"/>
                                                                                  <w:divBdr>
                                                                                    <w:top w:val="none" w:sz="0" w:space="0" w:color="auto"/>
                                                                                    <w:left w:val="none" w:sz="0" w:space="0" w:color="auto"/>
                                                                                    <w:bottom w:val="none" w:sz="0" w:space="0" w:color="auto"/>
                                                                                    <w:right w:val="none" w:sz="0" w:space="0" w:color="auto"/>
                                                                                  </w:divBdr>
                                                                                  <w:divsChild>
                                                                                    <w:div w:id="1175531865">
                                                                                      <w:marLeft w:val="150"/>
                                                                                      <w:marRight w:val="150"/>
                                                                                      <w:marTop w:val="0"/>
                                                                                      <w:marBottom w:val="0"/>
                                                                                      <w:divBdr>
                                                                                        <w:top w:val="none" w:sz="0" w:space="0" w:color="auto"/>
                                                                                        <w:left w:val="none" w:sz="0" w:space="0" w:color="auto"/>
                                                                                        <w:bottom w:val="none" w:sz="0" w:space="0" w:color="auto"/>
                                                                                        <w:right w:val="none" w:sz="0" w:space="0" w:color="auto"/>
                                                                                      </w:divBdr>
                                                                                      <w:divsChild>
                                                                                        <w:div w:id="155194648">
                                                                                          <w:marLeft w:val="0"/>
                                                                                          <w:marRight w:val="0"/>
                                                                                          <w:marTop w:val="0"/>
                                                                                          <w:marBottom w:val="0"/>
                                                                                          <w:divBdr>
                                                                                            <w:top w:val="none" w:sz="0" w:space="0" w:color="auto"/>
                                                                                            <w:left w:val="none" w:sz="0" w:space="0" w:color="auto"/>
                                                                                            <w:bottom w:val="none" w:sz="0" w:space="0" w:color="auto"/>
                                                                                            <w:right w:val="none" w:sz="0" w:space="0" w:color="auto"/>
                                                                                          </w:divBdr>
                                                                                          <w:divsChild>
                                                                                            <w:div w:id="3775559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8581625">
                                                                                                  <w:marLeft w:val="0"/>
                                                                                                  <w:marRight w:val="0"/>
                                                                                                  <w:marTop w:val="0"/>
                                                                                                  <w:marBottom w:val="0"/>
                                                                                                  <w:divBdr>
                                                                                                    <w:top w:val="none" w:sz="0" w:space="0" w:color="auto"/>
                                                                                                    <w:left w:val="none" w:sz="0" w:space="0" w:color="auto"/>
                                                                                                    <w:bottom w:val="none" w:sz="0" w:space="0" w:color="auto"/>
                                                                                                    <w:right w:val="none" w:sz="0" w:space="0" w:color="auto"/>
                                                                                                  </w:divBdr>
                                                                                                  <w:divsChild>
                                                                                                    <w:div w:id="20844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zure.microsoft.com/services/synapse-analytics" TargetMode="External"/><Relationship Id="rId18" Type="http://schemas.openxmlformats.org/officeDocument/2006/relationships/image" Target="media/image2.png"/><Relationship Id="rId26" Type="http://schemas.openxmlformats.org/officeDocument/2006/relationships/hyperlink" Target="https://azure.microsoft.com/en-us/features/cloud-shell/" TargetMode="Externa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azure.microsoft.com/en-us/features/azure-portal/" TargetMode="Externa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microsoft/OpenEduAnalytics" TargetMode="External"/><Relationship Id="rId20" Type="http://schemas.openxmlformats.org/officeDocument/2006/relationships/image" Target="media/image4.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docs.microsoft.com/en-us/azure/synapse-analytics/get-started" TargetMode="External"/><Relationship Id="rId23" Type="http://schemas.openxmlformats.org/officeDocument/2006/relationships/image" Target="media/image6.png"/><Relationship Id="rId28" Type="http://schemas.openxmlformats.org/officeDocument/2006/relationships/hyperlink" Target="https://docs.microsoft.com/en-us/azure/synapse-analytics/quickstart-power-bi"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zure.microsoft.com/en-us/services/synapse-analytics/video-demos" TargetMode="External"/><Relationship Id="rId22" Type="http://schemas.openxmlformats.org/officeDocument/2006/relationships/hyperlink" Target="https://azure.microsoft.com/en-us/global-infrastructure/services/?products=synapse-analytics&amp;regions=all" TargetMode="External"/><Relationship Id="rId27" Type="http://schemas.openxmlformats.org/officeDocument/2006/relationships/image" Target="media/image9.png"/><Relationship Id="rId30" Type="http://schemas.openxmlformats.org/officeDocument/2006/relationships/footer" Target="footer2.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UGARCI\Downloads\MSFT_Brand_whitepaper_template_082312.dotx" TargetMode="External"/></Relationships>
</file>

<file path=word/theme/theme1.xml><?xml version="1.0" encoding="utf-8"?>
<a:theme xmlns:a="http://schemas.openxmlformats.org/drawingml/2006/main" name="Office Theme">
  <a:themeElements>
    <a:clrScheme name="MS Brand">
      <a:dk1>
        <a:srgbClr val="58595B"/>
      </a:dk1>
      <a:lt1>
        <a:sysClr val="window" lastClr="FFFFFF"/>
      </a:lt1>
      <a:dk2>
        <a:srgbClr val="0054A6"/>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 BRAND fonts">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FastMetadata xmlns="d045c0ed-da0d-414b-918d-6bac2b0f0909" xsi:nil="true"/>
    <MediaServiceMetadata xmlns="d045c0ed-da0d-414b-918d-6bac2b0f0909" xsi:nil="true"/>
    <MediaServiceGenerationTime xmlns="d045c0ed-da0d-414b-918d-6bac2b0f0909" xsi:nil="true"/>
    <MediaServiceAutoTags xmlns="d045c0ed-da0d-414b-918d-6bac2b0f0909" xsi:nil="true"/>
    <MediaServiceOCR xmlns="d045c0ed-da0d-414b-918d-6bac2b0f0909" xsi:nil="true"/>
    <MediaServiceEventHashCode xmlns="d045c0ed-da0d-414b-918d-6bac2b0f0909" xsi:nil="true"/>
    <_ip_UnifiedCompliancePolicyUIAction xmlns="http://schemas.microsoft.com/sharepoint/v3" xsi:nil="true"/>
    <MediaServiceAutoKeyPoints xmlns="d045c0ed-da0d-414b-918d-6bac2b0f0909" xsi:nil="true"/>
    <_ip_UnifiedCompliancePolicyProperties xmlns="http://schemas.microsoft.com/sharepoint/v3" xsi:nil="true"/>
    <MediaServiceKeyPoints xmlns="d045c0ed-da0d-414b-918d-6bac2b0f090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113D031F30F9142A368C59088DB1679" ma:contentTypeVersion="12" ma:contentTypeDescription="Create a new document." ma:contentTypeScope="" ma:versionID="4d250301687ecba4445942ef601a0caa">
  <xsd:schema xmlns:xsd="http://www.w3.org/2001/XMLSchema" xmlns:xs="http://www.w3.org/2001/XMLSchema" xmlns:p="http://schemas.microsoft.com/office/2006/metadata/properties" xmlns:ns1="http://schemas.microsoft.com/sharepoint/v3" xmlns:ns2="d045c0ed-da0d-414b-918d-6bac2b0f0909" xmlns:ns3="6a470123-577d-4ad2-841b-3cd3408735c5" targetNamespace="http://schemas.microsoft.com/office/2006/metadata/properties" ma:root="true" ma:fieldsID="a2dc36a70031ee2ed3bf5e2b2cf1efae" ns1:_="" ns2:_="" ns3:_="">
    <xsd:import namespace="http://schemas.microsoft.com/sharepoint/v3"/>
    <xsd:import namespace="d045c0ed-da0d-414b-918d-6bac2b0f0909"/>
    <xsd:import namespace="6a470123-577d-4ad2-841b-3cd3408735c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45c0ed-da0d-414b-918d-6bac2b0f09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false">
      <xsd:simpleType>
        <xsd:restriction base="dms:Note"/>
      </xsd:simpleType>
    </xsd:element>
    <xsd:element name="MediaServiceFastMetadata" ma:index="9" nillable="true" ma:displayName="MediaServiceFastMetadata" ma:hidden="true" ma:internalName="MediaServiceFastMetadata" ma:readOnly="false">
      <xsd:simpleType>
        <xsd:restriction base="dms:Note"/>
      </xsd:simpleType>
    </xsd:element>
    <xsd:element name="MediaServiceAutoTags" ma:index="10" nillable="true" ma:displayName="Tags" ma:internalName="MediaServiceAutoTags" ma:readOnly="false">
      <xsd:simpleType>
        <xsd:restriction base="dms:Text"/>
      </xsd:simpleType>
    </xsd:element>
    <xsd:element name="MediaServiceOCR" ma:index="11" nillable="true" ma:displayName="Extracted Text" ma:internalName="MediaServiceOCR" ma:readOnly="false">
      <xsd:simpleType>
        <xsd:restriction base="dms:Note">
          <xsd:maxLength value="255"/>
        </xsd:restriction>
      </xsd:simpleType>
    </xsd:element>
    <xsd:element name="MediaServiceGenerationTime" ma:index="12" nillable="true" ma:displayName="MediaServiceGenerationTime" ma:hidden="true" ma:internalName="MediaServiceGenerationTime" ma:readOnly="false">
      <xsd:simpleType>
        <xsd:restriction base="dms:Text"/>
      </xsd:simpleType>
    </xsd:element>
    <xsd:element name="MediaServiceEventHashCode" ma:index="13" nillable="true" ma:displayName="MediaServiceEventHashCode" ma:hidden="true" ma:internalName="MediaServiceEventHashCode" ma:readOnly="false">
      <xsd:simpleType>
        <xsd:restriction base="dms:Text"/>
      </xsd:simpleType>
    </xsd:element>
    <xsd:element name="MediaServiceAutoKeyPoints" ma:index="16" nillable="true" ma:displayName="MediaServiceAutoKeyPoints" ma:hidden="true" ma:internalName="MediaServiceAutoKeyPoints" ma:readOnly="fals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470123-577d-4ad2-841b-3cd3408735c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F83A4-CCF2-4FB2-9DB6-F81D1746241F}">
  <ds:schemaRefs>
    <ds:schemaRef ds:uri="http://schemas.microsoft.com/office/2006/metadata/properties"/>
    <ds:schemaRef ds:uri="http://schemas.microsoft.com/office/infopath/2007/PartnerControls"/>
    <ds:schemaRef ds:uri="d045c0ed-da0d-414b-918d-6bac2b0f0909"/>
    <ds:schemaRef ds:uri="http://schemas.microsoft.com/sharepoint/v3"/>
  </ds:schemaRefs>
</ds:datastoreItem>
</file>

<file path=customXml/itemProps2.xml><?xml version="1.0" encoding="utf-8"?>
<ds:datastoreItem xmlns:ds="http://schemas.openxmlformats.org/officeDocument/2006/customXml" ds:itemID="{05B40E83-34A3-43A0-A295-33CF3308CCD0}">
  <ds:schemaRefs>
    <ds:schemaRef ds:uri="http://schemas.microsoft.com/sharepoint/v3/contenttype/forms"/>
  </ds:schemaRefs>
</ds:datastoreItem>
</file>

<file path=customXml/itemProps3.xml><?xml version="1.0" encoding="utf-8"?>
<ds:datastoreItem xmlns:ds="http://schemas.openxmlformats.org/officeDocument/2006/customXml" ds:itemID="{6B92BEB8-C5AC-4A3D-ABDD-3F833834BD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045c0ed-da0d-414b-918d-6bac2b0f0909"/>
    <ds:schemaRef ds:uri="6a470123-577d-4ad2-841b-3cd340873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8DE0A10-DE0D-4EA9-85F1-E60656DB2657}">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MSFT_Brand_whitepaper_template_082312.dotx</Template>
  <TotalTime>2179</TotalTime>
  <Pages>6</Pages>
  <Words>1028</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Garcia</dc:creator>
  <cp:keywords/>
  <cp:lastModifiedBy>Gene Garcia</cp:lastModifiedBy>
  <cp:revision>78</cp:revision>
  <cp:lastPrinted>2020-11-21T19:53:00Z</cp:lastPrinted>
  <dcterms:created xsi:type="dcterms:W3CDTF">2020-09-04T16:17:00Z</dcterms:created>
  <dcterms:modified xsi:type="dcterms:W3CDTF">2020-12-03T15:29:00Z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2020-09-04T18:49:31Z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18e3694e-5287-486d-99a3-1dcf6bf25c92</vt:lpwstr>
  </property>
  <property fmtid="{D5CDD505-2E9C-101B-9397-08002B2CF9AE}" pid="8" name="MSIP_Label_f42aa342-8706-4288-bd11-ebb85995028c_ContentBits">
    <vt:lpwstr>0</vt:lpwstr>
  </property>
  <property fmtid="{D5CDD505-2E9C-101B-9397-08002B2CF9AE}" pid="9" name="ContentTypeId">
    <vt:lpwstr>0x0101007113D031F30F9142A368C59088DB1679</vt:lpwstr>
  </property>
</Properties>
</file>