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2E478" w14:textId="77777777" w:rsidR="00802FDE" w:rsidRDefault="00802FDE"/>
    <w:p w14:paraId="60F229CF" w14:textId="77777777" w:rsidR="00802FDE" w:rsidRDefault="00802FDE"/>
    <w:p w14:paraId="7A3A8868" w14:textId="77777777" w:rsidR="00802FDE" w:rsidRDefault="00802FDE"/>
    <w:p w14:paraId="56915B01" w14:textId="2AEDE754" w:rsidR="00802FDE" w:rsidRDefault="001A65DA" w:rsidP="001A65DA">
      <w:pPr>
        <w:jc w:val="center"/>
      </w:pPr>
      <w:r>
        <w:rPr>
          <w:noProof/>
        </w:rPr>
        <w:drawing>
          <wp:inline distT="0" distB="0" distL="0" distR="0" wp14:anchorId="03D05BCF" wp14:editId="51AC953E">
            <wp:extent cx="4572000" cy="2514600"/>
            <wp:effectExtent l="0" t="0" r="0" b="0"/>
            <wp:docPr id="476565335" name="Picture 4765653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565335"/>
                    <pic:cNvPicPr/>
                  </pic:nvPicPr>
                  <pic:blipFill>
                    <a:blip r:embed="rId7">
                      <a:extLst>
                        <a:ext uri="{28A0092B-C50C-407E-A947-70E740481C1C}">
                          <a14:useLocalDpi xmlns:a14="http://schemas.microsoft.com/office/drawing/2010/main" val="0"/>
                        </a:ext>
                      </a:extLst>
                    </a:blip>
                    <a:srcRect t="20625" b="24375"/>
                    <a:stretch>
                      <a:fillRect/>
                    </a:stretch>
                  </pic:blipFill>
                  <pic:spPr>
                    <a:xfrm>
                      <a:off x="0" y="0"/>
                      <a:ext cx="4572000" cy="2514600"/>
                    </a:xfrm>
                    <a:prstGeom prst="rect">
                      <a:avLst/>
                    </a:prstGeom>
                  </pic:spPr>
                </pic:pic>
              </a:graphicData>
            </a:graphic>
          </wp:inline>
        </w:drawing>
      </w:r>
    </w:p>
    <w:p w14:paraId="0A36EE67" w14:textId="77777777" w:rsidR="00802FDE" w:rsidRDefault="00802FDE"/>
    <w:p w14:paraId="2CA0722D" w14:textId="7521FB1A" w:rsidR="00802FDE" w:rsidRPr="0065043F" w:rsidRDefault="0065043F">
      <w:pPr>
        <w:rPr>
          <w:sz w:val="72"/>
          <w:szCs w:val="72"/>
        </w:rPr>
      </w:pPr>
      <w:r w:rsidRPr="0065043F">
        <w:rPr>
          <w:sz w:val="72"/>
          <w:szCs w:val="72"/>
        </w:rPr>
        <w:t>Integrated Postsecondary Education Data System (IPEDS)</w:t>
      </w:r>
    </w:p>
    <w:p w14:paraId="412DA520" w14:textId="1A78ABF4" w:rsidR="0065043F" w:rsidRPr="0065043F" w:rsidRDefault="0065043F">
      <w:pPr>
        <w:rPr>
          <w:sz w:val="72"/>
          <w:szCs w:val="72"/>
        </w:rPr>
      </w:pPr>
      <w:r w:rsidRPr="0065043F">
        <w:rPr>
          <w:sz w:val="72"/>
          <w:szCs w:val="72"/>
        </w:rPr>
        <w:t>Peer Benchmarking Solution</w:t>
      </w:r>
    </w:p>
    <w:p w14:paraId="631CDD2E" w14:textId="77777777" w:rsidR="00802FDE" w:rsidRDefault="00802FDE"/>
    <w:p w14:paraId="66F21440" w14:textId="77777777" w:rsidR="00802FDE" w:rsidRDefault="00802FDE"/>
    <w:p w14:paraId="421D6AA5" w14:textId="77777777" w:rsidR="00802FDE" w:rsidRDefault="00802FDE"/>
    <w:p w14:paraId="42706628" w14:textId="77777777" w:rsidR="00802FDE" w:rsidRDefault="00802FDE"/>
    <w:p w14:paraId="7AD1305B" w14:textId="77777777" w:rsidR="00802FDE" w:rsidRDefault="00802FDE"/>
    <w:p w14:paraId="1534D3A5" w14:textId="77777777" w:rsidR="00802FDE" w:rsidRDefault="00802FDE"/>
    <w:p w14:paraId="18AE43D9" w14:textId="77777777" w:rsidR="00802FDE" w:rsidRDefault="00802FDE"/>
    <w:p w14:paraId="38616161" w14:textId="77777777" w:rsidR="00802FDE" w:rsidRDefault="00802FDE"/>
    <w:p w14:paraId="20B6814A" w14:textId="2900B119" w:rsidR="51AC953E" w:rsidRDefault="51AC953E"/>
    <w:p w14:paraId="35A22841" w14:textId="4C6AC4A9" w:rsidR="51AC953E" w:rsidRDefault="38439D42" w:rsidP="38439D42">
      <w:pPr>
        <w:rPr>
          <w:b/>
          <w:bCs/>
          <w:sz w:val="24"/>
          <w:szCs w:val="24"/>
        </w:rPr>
      </w:pPr>
      <w:r w:rsidRPr="38439D42">
        <w:rPr>
          <w:b/>
          <w:bCs/>
          <w:sz w:val="24"/>
          <w:szCs w:val="24"/>
        </w:rPr>
        <w:t>About the Report</w:t>
      </w:r>
    </w:p>
    <w:p w14:paraId="5943D718" w14:textId="6C61F133" w:rsidR="51AC953E" w:rsidRDefault="24F2C7B3" w:rsidP="24F2C7B3">
      <w:pPr>
        <w:pStyle w:val="ListParagraph"/>
        <w:numPr>
          <w:ilvl w:val="0"/>
          <w:numId w:val="1"/>
        </w:numPr>
        <w:rPr>
          <w:rFonts w:eastAsiaTheme="minorEastAsia"/>
        </w:rPr>
      </w:pPr>
      <w:r>
        <w:t xml:space="preserve">This report contains the most current available IPEDS data (as of December 1, 2021) submitted by Title IV eligible institutions within the U.S. </w:t>
      </w:r>
    </w:p>
    <w:p w14:paraId="7F447177" w14:textId="06723B56" w:rsidR="51AC953E" w:rsidRDefault="51AC953E" w:rsidP="51AC953E">
      <w:pPr>
        <w:pStyle w:val="ListParagraph"/>
        <w:numPr>
          <w:ilvl w:val="0"/>
          <w:numId w:val="1"/>
        </w:numPr>
      </w:pPr>
      <w:r>
        <w:t>Data were extracted directly from the IPEDS Data Center and appear as submitted to IPEDS.</w:t>
      </w:r>
    </w:p>
    <w:p w14:paraId="42D92CAD" w14:textId="3D259157" w:rsidR="51AC953E" w:rsidRDefault="24F2C7B3" w:rsidP="24F2C7B3">
      <w:pPr>
        <w:pStyle w:val="ListParagraph"/>
        <w:numPr>
          <w:ilvl w:val="0"/>
          <w:numId w:val="1"/>
        </w:numPr>
      </w:pPr>
      <w:r>
        <w:t>In instances where an institution has changed names, the most current name is used across all prior years of data.</w:t>
      </w:r>
    </w:p>
    <w:p w14:paraId="74957E5E" w14:textId="35E7EF01" w:rsidR="51AC953E" w:rsidRDefault="51AC953E"/>
    <w:p w14:paraId="6C02464D" w14:textId="276DDB03" w:rsidR="001427BF" w:rsidRDefault="24F2C7B3" w:rsidP="38439D42">
      <w:pPr>
        <w:rPr>
          <w:b/>
          <w:bCs/>
          <w:sz w:val="24"/>
          <w:szCs w:val="24"/>
        </w:rPr>
      </w:pPr>
      <w:r w:rsidRPr="24F2C7B3">
        <w:rPr>
          <w:b/>
          <w:bCs/>
          <w:sz w:val="24"/>
          <w:szCs w:val="24"/>
        </w:rPr>
        <w:t>Institution Selection</w:t>
      </w:r>
    </w:p>
    <w:p w14:paraId="421C3FB3" w14:textId="1DA0704D" w:rsidR="006719DB" w:rsidRDefault="24F2C7B3">
      <w:r>
        <w:t xml:space="preserve"> </w:t>
      </w:r>
      <w:r w:rsidR="38439D42">
        <w:rPr>
          <w:noProof/>
        </w:rPr>
        <w:drawing>
          <wp:inline distT="0" distB="0" distL="0" distR="0" wp14:anchorId="29966450" wp14:editId="24F2C7B3">
            <wp:extent cx="5943600" cy="3461385"/>
            <wp:effectExtent l="9525" t="9525" r="9525"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61385"/>
                    </a:xfrm>
                    <a:prstGeom prst="rect">
                      <a:avLst/>
                    </a:prstGeom>
                    <a:ln w="9525">
                      <a:solidFill>
                        <a:schemeClr val="bg1">
                          <a:lumMod val="95000"/>
                          <a:lumOff val="5000"/>
                        </a:schemeClr>
                      </a:solidFill>
                      <a:prstDash val="solid"/>
                    </a:ln>
                  </pic:spPr>
                </pic:pic>
              </a:graphicData>
            </a:graphic>
          </wp:inline>
        </w:drawing>
      </w:r>
    </w:p>
    <w:p w14:paraId="196FB426" w14:textId="6DC311FD" w:rsidR="006719DB" w:rsidRDefault="38439D42" w:rsidP="00DF37CF">
      <w:pPr>
        <w:pStyle w:val="ListParagraph"/>
        <w:numPr>
          <w:ilvl w:val="0"/>
          <w:numId w:val="2"/>
        </w:numPr>
      </w:pPr>
      <w:r>
        <w:t xml:space="preserve">The Institution Selection page provides the foundation for data shown on subsequent pages. </w:t>
      </w:r>
    </w:p>
    <w:p w14:paraId="1E62F9BF" w14:textId="4A933A4E" w:rsidR="006719DB" w:rsidRDefault="24F2C7B3" w:rsidP="00DF37CF">
      <w:pPr>
        <w:pStyle w:val="ListParagraph"/>
        <w:numPr>
          <w:ilvl w:val="0"/>
          <w:numId w:val="2"/>
        </w:numPr>
      </w:pPr>
      <w:r>
        <w:t>Users must select their focus institution in the first box. Use the search box to limit results for easier selection.</w:t>
      </w:r>
    </w:p>
    <w:p w14:paraId="573BC31E" w14:textId="5AE5422B" w:rsidR="38439D42" w:rsidRDefault="38439D42" w:rsidP="38439D42">
      <w:pPr>
        <w:pStyle w:val="ListParagraph"/>
        <w:numPr>
          <w:ilvl w:val="0"/>
          <w:numId w:val="2"/>
        </w:numPr>
        <w:rPr>
          <w:rFonts w:eastAsiaTheme="minorEastAsia"/>
        </w:rPr>
      </w:pPr>
      <w:r>
        <w:t>Users must then select peer comparison institutions in the center box. Use the slicers and search box to limit results for easier selection.</w:t>
      </w:r>
    </w:p>
    <w:p w14:paraId="79D11D53" w14:textId="37DA0E08" w:rsidR="003168A6" w:rsidRDefault="38439D42" w:rsidP="00DF37CF">
      <w:pPr>
        <w:pStyle w:val="ListParagraph"/>
        <w:numPr>
          <w:ilvl w:val="0"/>
          <w:numId w:val="2"/>
        </w:numPr>
      </w:pPr>
      <w:r>
        <w:t xml:space="preserve">Users can return to this page at any time to change the selected peers; data on subsequent pages will update automatically. </w:t>
      </w:r>
    </w:p>
    <w:p w14:paraId="6DCAF87E" w14:textId="7A7B0158" w:rsidR="00CD3A01" w:rsidRDefault="00CD3A01" w:rsidP="006C174C">
      <w:pPr>
        <w:pStyle w:val="ListParagraph"/>
      </w:pPr>
    </w:p>
    <w:p w14:paraId="5387B12F" w14:textId="77777777" w:rsidR="006719DB" w:rsidRDefault="006719DB"/>
    <w:p w14:paraId="62AEB361" w14:textId="7A7B0158" w:rsidR="006719DB" w:rsidRDefault="006719DB"/>
    <w:p w14:paraId="69563A14" w14:textId="30E03DFA" w:rsidR="006719DB" w:rsidRDefault="24F2C7B3" w:rsidP="38439D42">
      <w:pPr>
        <w:rPr>
          <w:b/>
          <w:bCs/>
          <w:sz w:val="24"/>
          <w:szCs w:val="24"/>
        </w:rPr>
      </w:pPr>
      <w:r w:rsidRPr="24F2C7B3">
        <w:rPr>
          <w:b/>
          <w:bCs/>
          <w:sz w:val="24"/>
          <w:szCs w:val="24"/>
        </w:rPr>
        <w:lastRenderedPageBreak/>
        <w:t xml:space="preserve">Institution Summary </w:t>
      </w:r>
    </w:p>
    <w:p w14:paraId="4BB6E52C" w14:textId="7A7B0158" w:rsidR="006719DB" w:rsidRDefault="006719DB">
      <w:r>
        <w:rPr>
          <w:noProof/>
        </w:rPr>
        <w:drawing>
          <wp:inline distT="0" distB="0" distL="0" distR="0" wp14:anchorId="6C0CC26C" wp14:editId="4CEBD212">
            <wp:extent cx="5943600" cy="3438525"/>
            <wp:effectExtent l="9525" t="9525" r="9525" b="9525"/>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a:ln w="9525">
                      <a:solidFill>
                        <a:schemeClr val="bg1">
                          <a:lumMod val="95000"/>
                          <a:lumOff val="5000"/>
                        </a:schemeClr>
                      </a:solidFill>
                      <a:prstDash val="solid"/>
                    </a:ln>
                  </pic:spPr>
                </pic:pic>
              </a:graphicData>
            </a:graphic>
          </wp:inline>
        </w:drawing>
      </w:r>
    </w:p>
    <w:p w14:paraId="2665E442" w14:textId="34B4D711" w:rsidR="002C002E" w:rsidRPr="00B93167" w:rsidRDefault="38439D42" w:rsidP="38439D42">
      <w:pPr>
        <w:rPr>
          <w:sz w:val="24"/>
          <w:szCs w:val="24"/>
        </w:rPr>
      </w:pPr>
      <w:r w:rsidRPr="38439D42">
        <w:rPr>
          <w:sz w:val="24"/>
          <w:szCs w:val="24"/>
        </w:rPr>
        <w:t xml:space="preserve">The focus of this page is to provide a holistic view of the intersectionality of the key area of every institution (Admissions, Enrollment, Tuition, Revenue, and Student Success). This view provides a visually guided framework for how key stakeholders at every level of the institution can engage in a meaning conversation of data trends related to key strategic areas. </w:t>
      </w:r>
    </w:p>
    <w:p w14:paraId="596BBBF5" w14:textId="5FD8BDD3" w:rsidR="002C002E" w:rsidRPr="00B93167" w:rsidRDefault="38439D42" w:rsidP="00A54C8F">
      <w:pPr>
        <w:rPr>
          <w:sz w:val="24"/>
          <w:szCs w:val="24"/>
        </w:rPr>
      </w:pPr>
      <w:r w:rsidRPr="38439D42">
        <w:rPr>
          <w:sz w:val="24"/>
          <w:szCs w:val="24"/>
        </w:rPr>
        <w:t>The most currently available eight years of IPEDS data are shown for each metric.</w:t>
      </w:r>
    </w:p>
    <w:p w14:paraId="4BCEA742" w14:textId="77777777" w:rsidR="00BB5B8C" w:rsidRPr="00B93167" w:rsidRDefault="00BB5B8C" w:rsidP="38439D42">
      <w:pPr>
        <w:rPr>
          <w:color w:val="333333"/>
          <w:sz w:val="24"/>
          <w:szCs w:val="24"/>
          <w:shd w:val="clear" w:color="auto" w:fill="FFFFFF"/>
        </w:rPr>
      </w:pPr>
      <w:r w:rsidRPr="38439D42">
        <w:rPr>
          <w:color w:val="333333"/>
          <w:sz w:val="24"/>
          <w:szCs w:val="24"/>
          <w:shd w:val="clear" w:color="auto" w:fill="FFFFFF"/>
        </w:rPr>
        <w:t>Visuals include:</w:t>
      </w:r>
    </w:p>
    <w:p w14:paraId="51F36717" w14:textId="23118580" w:rsidR="00BB5B8C" w:rsidRPr="00B93167" w:rsidRDefault="005F79CD"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applicants, admits, and enrollment by year</w:t>
      </w:r>
      <w:r w:rsidR="00BB5B8C" w:rsidRPr="38439D42">
        <w:rPr>
          <w:color w:val="333333"/>
          <w:sz w:val="24"/>
          <w:szCs w:val="24"/>
          <w:shd w:val="clear" w:color="auto" w:fill="FFFFFF"/>
        </w:rPr>
        <w:t xml:space="preserve"> </w:t>
      </w:r>
    </w:p>
    <w:p w14:paraId="01C6CE94" w14:textId="23C62563" w:rsidR="00BB5B8C" w:rsidRPr="00B93167" w:rsidRDefault="00F77479"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 xml:space="preserve">first-time, full-time </w:t>
      </w:r>
      <w:r w:rsidR="00BB5B8C" w:rsidRPr="38439D42">
        <w:rPr>
          <w:color w:val="333333"/>
          <w:sz w:val="24"/>
          <w:szCs w:val="24"/>
          <w:shd w:val="clear" w:color="auto" w:fill="FFFFFF"/>
        </w:rPr>
        <w:t xml:space="preserve">enrollment by </w:t>
      </w:r>
      <w:r w:rsidRPr="38439D42">
        <w:rPr>
          <w:color w:val="333333"/>
          <w:sz w:val="24"/>
          <w:szCs w:val="24"/>
          <w:shd w:val="clear" w:color="auto" w:fill="FFFFFF"/>
        </w:rPr>
        <w:t>year</w:t>
      </w:r>
    </w:p>
    <w:p w14:paraId="42EFA27D" w14:textId="3C89AFD2" w:rsidR="00BB5B8C" w:rsidRPr="00B93167" w:rsidRDefault="00F77479"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published in-state tuition and fees</w:t>
      </w:r>
      <w:r w:rsidR="00BB5B8C" w:rsidRPr="38439D42">
        <w:rPr>
          <w:color w:val="333333"/>
          <w:sz w:val="24"/>
          <w:szCs w:val="24"/>
          <w:shd w:val="clear" w:color="auto" w:fill="FFFFFF"/>
        </w:rPr>
        <w:t xml:space="preserve"> by </w:t>
      </w:r>
      <w:r w:rsidRPr="38439D42">
        <w:rPr>
          <w:color w:val="333333"/>
          <w:sz w:val="24"/>
          <w:szCs w:val="24"/>
          <w:shd w:val="clear" w:color="auto" w:fill="FFFFFF"/>
        </w:rPr>
        <w:t>year</w:t>
      </w:r>
    </w:p>
    <w:p w14:paraId="7E395B04" w14:textId="1E6D2FE4" w:rsidR="00BB5B8C" w:rsidRPr="00B93167" w:rsidRDefault="002B035E"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average institutional grant aid to first</w:t>
      </w:r>
      <w:r w:rsidR="00B93167" w:rsidRPr="38439D42">
        <w:rPr>
          <w:color w:val="333333"/>
          <w:sz w:val="24"/>
          <w:szCs w:val="24"/>
          <w:shd w:val="clear" w:color="auto" w:fill="FFFFFF"/>
        </w:rPr>
        <w:t>-</w:t>
      </w:r>
      <w:r w:rsidRPr="38439D42">
        <w:rPr>
          <w:color w:val="333333"/>
          <w:sz w:val="24"/>
          <w:szCs w:val="24"/>
          <w:shd w:val="clear" w:color="auto" w:fill="FFFFFF"/>
        </w:rPr>
        <w:t>time</w:t>
      </w:r>
      <w:r w:rsidR="00B93167" w:rsidRPr="38439D42">
        <w:rPr>
          <w:color w:val="333333"/>
          <w:sz w:val="24"/>
          <w:szCs w:val="24"/>
          <w:shd w:val="clear" w:color="auto" w:fill="FFFFFF"/>
        </w:rPr>
        <w:t>,</w:t>
      </w:r>
      <w:r w:rsidRPr="38439D42">
        <w:rPr>
          <w:color w:val="333333"/>
          <w:sz w:val="24"/>
          <w:szCs w:val="24"/>
          <w:shd w:val="clear" w:color="auto" w:fill="FFFFFF"/>
        </w:rPr>
        <w:t xml:space="preserve"> full-time undergraduates by year</w:t>
      </w:r>
    </w:p>
    <w:p w14:paraId="7965B5D7" w14:textId="559B45CC" w:rsidR="00BB5B8C" w:rsidRPr="00B93167" w:rsidRDefault="00BB5B8C"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enrollment</w:t>
      </w:r>
      <w:r w:rsidR="0094009F" w:rsidRPr="38439D42">
        <w:rPr>
          <w:color w:val="333333"/>
          <w:sz w:val="24"/>
          <w:szCs w:val="24"/>
          <w:shd w:val="clear" w:color="auto" w:fill="FFFFFF"/>
        </w:rPr>
        <w:t xml:space="preserve"> (undergraduate and grad</w:t>
      </w:r>
      <w:r w:rsidR="000D45DD" w:rsidRPr="38439D42">
        <w:rPr>
          <w:color w:val="333333"/>
          <w:sz w:val="24"/>
          <w:szCs w:val="24"/>
          <w:shd w:val="clear" w:color="auto" w:fill="FFFFFF"/>
        </w:rPr>
        <w:t>uate)</w:t>
      </w:r>
      <w:r w:rsidRPr="38439D42">
        <w:rPr>
          <w:color w:val="333333"/>
          <w:sz w:val="24"/>
          <w:szCs w:val="24"/>
          <w:shd w:val="clear" w:color="auto" w:fill="FFFFFF"/>
        </w:rPr>
        <w:t xml:space="preserve"> by </w:t>
      </w:r>
      <w:r w:rsidR="000D45DD" w:rsidRPr="38439D42">
        <w:rPr>
          <w:color w:val="333333"/>
          <w:sz w:val="24"/>
          <w:szCs w:val="24"/>
          <w:shd w:val="clear" w:color="auto" w:fill="FFFFFF"/>
        </w:rPr>
        <w:t>year</w:t>
      </w:r>
    </w:p>
    <w:p w14:paraId="4DFDF004" w14:textId="540F83E4" w:rsidR="00BB5B8C" w:rsidRPr="00B93167" w:rsidRDefault="000D45DD"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net revenue per full-time equivalent</w:t>
      </w:r>
      <w:r w:rsidR="00BB5B8C" w:rsidRPr="38439D42">
        <w:rPr>
          <w:color w:val="333333"/>
          <w:sz w:val="24"/>
          <w:szCs w:val="24"/>
          <w:shd w:val="clear" w:color="auto" w:fill="FFFFFF"/>
        </w:rPr>
        <w:t xml:space="preserve"> by </w:t>
      </w:r>
      <w:r w:rsidRPr="38439D42">
        <w:rPr>
          <w:color w:val="333333"/>
          <w:sz w:val="24"/>
          <w:szCs w:val="24"/>
          <w:shd w:val="clear" w:color="auto" w:fill="FFFFFF"/>
        </w:rPr>
        <w:t>year</w:t>
      </w:r>
    </w:p>
    <w:p w14:paraId="21EDAD7C" w14:textId="5DD304EF" w:rsidR="00BB5B8C" w:rsidRPr="00B93167" w:rsidRDefault="00460BFA"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first-time</w:t>
      </w:r>
      <w:r w:rsidR="00B93167" w:rsidRPr="38439D42">
        <w:rPr>
          <w:color w:val="333333"/>
          <w:sz w:val="24"/>
          <w:szCs w:val="24"/>
          <w:shd w:val="clear" w:color="auto" w:fill="FFFFFF"/>
        </w:rPr>
        <w:t>,</w:t>
      </w:r>
      <w:r w:rsidRPr="38439D42">
        <w:rPr>
          <w:color w:val="333333"/>
          <w:sz w:val="24"/>
          <w:szCs w:val="24"/>
          <w:shd w:val="clear" w:color="auto" w:fill="FFFFFF"/>
        </w:rPr>
        <w:t xml:space="preserve"> </w:t>
      </w:r>
      <w:r w:rsidR="00B93167" w:rsidRPr="38439D42">
        <w:rPr>
          <w:color w:val="333333"/>
          <w:sz w:val="24"/>
          <w:szCs w:val="24"/>
          <w:shd w:val="clear" w:color="auto" w:fill="FFFFFF"/>
        </w:rPr>
        <w:t>full-time</w:t>
      </w:r>
      <w:r w:rsidRPr="38439D42">
        <w:rPr>
          <w:color w:val="333333"/>
          <w:sz w:val="24"/>
          <w:szCs w:val="24"/>
          <w:shd w:val="clear" w:color="auto" w:fill="FFFFFF"/>
        </w:rPr>
        <w:t xml:space="preserve"> retention rate by year</w:t>
      </w:r>
    </w:p>
    <w:p w14:paraId="36253455" w14:textId="7C831505" w:rsidR="00BB5B8C" w:rsidRPr="00B93167" w:rsidRDefault="00460BFA"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four-year and six-year graduation rates</w:t>
      </w:r>
      <w:r w:rsidR="00BB5B8C" w:rsidRPr="38439D42">
        <w:rPr>
          <w:color w:val="333333"/>
          <w:sz w:val="24"/>
          <w:szCs w:val="24"/>
          <w:shd w:val="clear" w:color="auto" w:fill="FFFFFF"/>
        </w:rPr>
        <w:t xml:space="preserve"> by </w:t>
      </w:r>
      <w:r w:rsidR="00B93167" w:rsidRPr="38439D42">
        <w:rPr>
          <w:color w:val="333333"/>
          <w:sz w:val="24"/>
          <w:szCs w:val="24"/>
          <w:shd w:val="clear" w:color="auto" w:fill="FFFFFF"/>
        </w:rPr>
        <w:t>year</w:t>
      </w:r>
    </w:p>
    <w:p w14:paraId="03F0E6B0" w14:textId="7A7B0158" w:rsidR="00BB5B8C" w:rsidRDefault="00BB5B8C" w:rsidP="00A54C8F"/>
    <w:p w14:paraId="679DE20A" w14:textId="28F82379" w:rsidR="00743D92" w:rsidRDefault="00743D92"/>
    <w:p w14:paraId="0118ED0C" w14:textId="77C3B1A8" w:rsidR="00743D92" w:rsidRDefault="00743D92"/>
    <w:p w14:paraId="2983804E" w14:textId="34DDF6FF" w:rsidR="00743D92" w:rsidRDefault="00743D92"/>
    <w:p w14:paraId="056E65A2" w14:textId="775F8A6C" w:rsidR="24F2C7B3" w:rsidRDefault="24F2C7B3" w:rsidP="24F2C7B3">
      <w:pPr>
        <w:rPr>
          <w:b/>
          <w:bCs/>
          <w:sz w:val="24"/>
          <w:szCs w:val="24"/>
        </w:rPr>
      </w:pPr>
    </w:p>
    <w:p w14:paraId="60CBC0E3" w14:textId="1CEEA1C1" w:rsidR="00743D92" w:rsidRDefault="38439D42" w:rsidP="38439D42">
      <w:pPr>
        <w:rPr>
          <w:b/>
          <w:bCs/>
          <w:sz w:val="24"/>
          <w:szCs w:val="24"/>
        </w:rPr>
      </w:pPr>
      <w:r w:rsidRPr="38439D42">
        <w:rPr>
          <w:b/>
          <w:bCs/>
          <w:sz w:val="24"/>
          <w:szCs w:val="24"/>
        </w:rPr>
        <w:t>Key Metric Comparison</w:t>
      </w:r>
    </w:p>
    <w:p w14:paraId="6CB5FC49" w14:textId="51ACD68D" w:rsidR="38439D42" w:rsidRDefault="38439D42">
      <w:r>
        <w:rPr>
          <w:noProof/>
        </w:rPr>
        <w:drawing>
          <wp:inline distT="0" distB="0" distL="0" distR="0" wp14:anchorId="090E169D" wp14:editId="1048477D">
            <wp:extent cx="5943600" cy="3429635"/>
            <wp:effectExtent l="9525" t="9525" r="9525"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29635"/>
                    </a:xfrm>
                    <a:prstGeom prst="rect">
                      <a:avLst/>
                    </a:prstGeom>
                    <a:ln w="9525">
                      <a:solidFill>
                        <a:schemeClr val="bg1">
                          <a:lumMod val="95000"/>
                          <a:lumOff val="5000"/>
                        </a:schemeClr>
                      </a:solidFill>
                      <a:prstDash val="solid"/>
                    </a:ln>
                  </pic:spPr>
                </pic:pic>
              </a:graphicData>
            </a:graphic>
          </wp:inline>
        </w:drawing>
      </w:r>
      <w:r w:rsidR="24F2C7B3" w:rsidRPr="24F2C7B3">
        <w:rPr>
          <w:sz w:val="24"/>
          <w:szCs w:val="24"/>
        </w:rPr>
        <w:t xml:space="preserve">This page mirrors the prior page, with the addition of aggregate comparison data based on the selected peer institutions. The teal values represent the focus institution’s data while the grey values represent the average data value of the selected peer group. This view allows stakeholders to engage in a meaning conversation of institutional data trends in comparison to peer institutions. </w:t>
      </w:r>
    </w:p>
    <w:p w14:paraId="6D0DB0B4" w14:textId="33F0141C" w:rsidR="38439D42" w:rsidRDefault="38439D42" w:rsidP="38439D42">
      <w:pPr>
        <w:rPr>
          <w:sz w:val="24"/>
          <w:szCs w:val="24"/>
        </w:rPr>
      </w:pPr>
      <w:r w:rsidRPr="38439D42">
        <w:rPr>
          <w:sz w:val="24"/>
          <w:szCs w:val="24"/>
        </w:rPr>
        <w:t>Users can hover over the Selected Peer information icon at the top of the screen to view the list of selected peer institutions.</w:t>
      </w:r>
    </w:p>
    <w:p w14:paraId="3AB775FE" w14:textId="0EA8909B" w:rsidR="38439D42" w:rsidRDefault="38439D42" w:rsidP="38439D42">
      <w:pPr>
        <w:rPr>
          <w:sz w:val="24"/>
          <w:szCs w:val="24"/>
        </w:rPr>
      </w:pPr>
      <w:r w:rsidRPr="38439D42">
        <w:rPr>
          <w:sz w:val="24"/>
          <w:szCs w:val="24"/>
        </w:rPr>
        <w:t>The most currently available eight years of IPEDS data are shown for each metric.</w:t>
      </w:r>
    </w:p>
    <w:p w14:paraId="4BA11FDB" w14:textId="2E3A2FFF" w:rsidR="00476593" w:rsidRPr="00B93167" w:rsidRDefault="38439D42" w:rsidP="38439D42">
      <w:pPr>
        <w:rPr>
          <w:color w:val="333333"/>
          <w:sz w:val="24"/>
          <w:szCs w:val="24"/>
          <w:shd w:val="clear" w:color="auto" w:fill="FFFFFF"/>
        </w:rPr>
      </w:pPr>
      <w:r w:rsidRPr="38439D42">
        <w:rPr>
          <w:sz w:val="24"/>
          <w:szCs w:val="24"/>
        </w:rPr>
        <w:t xml:space="preserve"> </w:t>
      </w:r>
      <w:r w:rsidR="00476593" w:rsidRPr="38439D42">
        <w:rPr>
          <w:color w:val="333333"/>
          <w:sz w:val="24"/>
          <w:szCs w:val="24"/>
          <w:shd w:val="clear" w:color="auto" w:fill="FFFFFF"/>
        </w:rPr>
        <w:t>Visuals include:</w:t>
      </w:r>
    </w:p>
    <w:p w14:paraId="7F500506"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 xml:space="preserve">applicants, admits, and enrollment by year </w:t>
      </w:r>
    </w:p>
    <w:p w14:paraId="3BDDA9AC"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first-time, full-time enrollment by year</w:t>
      </w:r>
    </w:p>
    <w:p w14:paraId="41C2F3F1"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published in-state tuition and fees by year</w:t>
      </w:r>
    </w:p>
    <w:p w14:paraId="6F1530D3"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average institutional grant aid to first-time, full-time undergraduates by year</w:t>
      </w:r>
    </w:p>
    <w:p w14:paraId="1AFF0B69"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enrollment (undergraduate and graduate) by year</w:t>
      </w:r>
    </w:p>
    <w:p w14:paraId="45657F41"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net revenue per full-time equivalent by year</w:t>
      </w:r>
    </w:p>
    <w:p w14:paraId="61CFBEB9"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first-time, full-time retention rate by year</w:t>
      </w:r>
    </w:p>
    <w:p w14:paraId="79D49E70" w14:textId="77777777" w:rsidR="00476593" w:rsidRPr="00B93167" w:rsidRDefault="00476593" w:rsidP="38439D42">
      <w:pPr>
        <w:pStyle w:val="ListParagraph"/>
        <w:numPr>
          <w:ilvl w:val="0"/>
          <w:numId w:val="4"/>
        </w:numPr>
        <w:rPr>
          <w:color w:val="333333"/>
          <w:sz w:val="24"/>
          <w:szCs w:val="24"/>
          <w:shd w:val="clear" w:color="auto" w:fill="FFFFFF"/>
        </w:rPr>
      </w:pPr>
      <w:r w:rsidRPr="38439D42">
        <w:rPr>
          <w:color w:val="333333"/>
          <w:sz w:val="24"/>
          <w:szCs w:val="24"/>
          <w:shd w:val="clear" w:color="auto" w:fill="FFFFFF"/>
        </w:rPr>
        <w:t>four-year and six-year graduation rates by year</w:t>
      </w:r>
    </w:p>
    <w:p w14:paraId="2BE6BF9F" w14:textId="23D37C27" w:rsidR="00802FDE" w:rsidRDefault="00802FDE" w:rsidP="24F2C7B3"/>
    <w:p w14:paraId="2DDA3EE9" w14:textId="1AD502BA" w:rsidR="24F2C7B3" w:rsidRDefault="24F2C7B3" w:rsidP="24F2C7B3">
      <w:pPr>
        <w:rPr>
          <w:b/>
          <w:bCs/>
          <w:sz w:val="24"/>
          <w:szCs w:val="24"/>
        </w:rPr>
      </w:pPr>
    </w:p>
    <w:p w14:paraId="2D3728DE" w14:textId="2DEF3A37" w:rsidR="38439D42" w:rsidRDefault="38439D42" w:rsidP="38439D42">
      <w:pPr>
        <w:rPr>
          <w:b/>
          <w:bCs/>
          <w:sz w:val="24"/>
          <w:szCs w:val="24"/>
        </w:rPr>
      </w:pPr>
      <w:r w:rsidRPr="38439D42">
        <w:rPr>
          <w:b/>
          <w:bCs/>
          <w:sz w:val="24"/>
          <w:szCs w:val="24"/>
        </w:rPr>
        <w:t>Undergraduate Enrollment</w:t>
      </w:r>
    </w:p>
    <w:p w14:paraId="4DA6C9A6" w14:textId="6B52448E" w:rsidR="38439D42" w:rsidRDefault="38439D42" w:rsidP="38439D42"/>
    <w:p w14:paraId="34309BCE" w14:textId="4C8DAEA0" w:rsidR="00F3239A" w:rsidRDefault="00F3239A">
      <w:r>
        <w:rPr>
          <w:noProof/>
        </w:rPr>
        <w:drawing>
          <wp:inline distT="0" distB="0" distL="0" distR="0" wp14:anchorId="333C357C" wp14:editId="061FE4B7">
            <wp:extent cx="5943600" cy="3409315"/>
            <wp:effectExtent l="9525" t="9525" r="9525" b="952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a:ln w="9525">
                      <a:solidFill>
                        <a:schemeClr val="bg1">
                          <a:lumMod val="95000"/>
                          <a:lumOff val="5000"/>
                        </a:schemeClr>
                      </a:solidFill>
                      <a:prstDash val="solid"/>
                    </a:ln>
                  </pic:spPr>
                </pic:pic>
              </a:graphicData>
            </a:graphic>
          </wp:inline>
        </w:drawing>
      </w:r>
    </w:p>
    <w:p w14:paraId="2EFFC73F" w14:textId="7366D0D7" w:rsidR="006C7CDB" w:rsidRPr="00157534" w:rsidRDefault="38439D42" w:rsidP="00157534">
      <w:pPr>
        <w:spacing w:after="0" w:line="240" w:lineRule="auto"/>
        <w:rPr>
          <w:sz w:val="24"/>
          <w:szCs w:val="24"/>
        </w:rPr>
      </w:pPr>
      <w:r w:rsidRPr="38439D42">
        <w:rPr>
          <w:sz w:val="24"/>
          <w:szCs w:val="24"/>
        </w:rPr>
        <w:t xml:space="preserve">This page provides an overview of undergraduate enrollment for the most recent IPEDS data year in comparison to the selected peer group. </w:t>
      </w:r>
    </w:p>
    <w:p w14:paraId="24DE0D9C" w14:textId="6C4400EA" w:rsidR="38439D42" w:rsidRDefault="38439D42" w:rsidP="38439D42">
      <w:pPr>
        <w:spacing w:after="0" w:line="240" w:lineRule="auto"/>
        <w:rPr>
          <w:sz w:val="24"/>
          <w:szCs w:val="24"/>
        </w:rPr>
      </w:pPr>
    </w:p>
    <w:p w14:paraId="258B93C8" w14:textId="4C8DAEA0" w:rsidR="006C7CDB" w:rsidRPr="00157534" w:rsidRDefault="38439D42" w:rsidP="00157534">
      <w:pPr>
        <w:spacing w:after="0" w:line="240" w:lineRule="auto"/>
        <w:rPr>
          <w:sz w:val="24"/>
          <w:szCs w:val="24"/>
        </w:rPr>
      </w:pPr>
      <w:r w:rsidRPr="38439D42">
        <w:rPr>
          <w:sz w:val="24"/>
          <w:szCs w:val="24"/>
        </w:rPr>
        <w:t>Visuals include:</w:t>
      </w:r>
    </w:p>
    <w:p w14:paraId="7E1A4F5F" w14:textId="517D475D" w:rsidR="006C1654" w:rsidRPr="006C1654" w:rsidRDefault="4582A713" w:rsidP="006C1654">
      <w:pPr>
        <w:pStyle w:val="ListParagraph"/>
        <w:numPr>
          <w:ilvl w:val="0"/>
          <w:numId w:val="5"/>
        </w:numPr>
        <w:spacing w:after="0" w:line="240" w:lineRule="auto"/>
        <w:rPr>
          <w:sz w:val="24"/>
          <w:szCs w:val="24"/>
        </w:rPr>
      </w:pPr>
      <w:r w:rsidRPr="4582A713">
        <w:rPr>
          <w:sz w:val="24"/>
          <w:szCs w:val="24"/>
        </w:rPr>
        <w:t>Card 1: undergraduate enrollment at the focus institutions</w:t>
      </w:r>
    </w:p>
    <w:p w14:paraId="0296ACC2" w14:textId="25B51C2B" w:rsidR="006C7CDB" w:rsidRPr="006C1654" w:rsidRDefault="4582A713" w:rsidP="4582A713">
      <w:pPr>
        <w:pStyle w:val="ListParagraph"/>
        <w:numPr>
          <w:ilvl w:val="0"/>
          <w:numId w:val="5"/>
        </w:numPr>
        <w:spacing w:after="0" w:line="240" w:lineRule="auto"/>
        <w:rPr>
          <w:rFonts w:eastAsiaTheme="minorEastAsia"/>
          <w:sz w:val="24"/>
          <w:szCs w:val="24"/>
        </w:rPr>
      </w:pPr>
      <w:r w:rsidRPr="4582A713">
        <w:rPr>
          <w:sz w:val="24"/>
          <w:szCs w:val="24"/>
        </w:rPr>
        <w:t>Card 2: average undergraduate enrollment for selected peer group</w:t>
      </w:r>
    </w:p>
    <w:p w14:paraId="696E5309" w14:textId="3B86645D" w:rsidR="006C7CDB" w:rsidRPr="006C1654" w:rsidRDefault="4582A713" w:rsidP="4582A713">
      <w:pPr>
        <w:pStyle w:val="ListParagraph"/>
        <w:numPr>
          <w:ilvl w:val="0"/>
          <w:numId w:val="5"/>
        </w:numPr>
        <w:spacing w:after="0" w:line="240" w:lineRule="auto"/>
        <w:rPr>
          <w:rFonts w:eastAsiaTheme="minorEastAsia"/>
          <w:sz w:val="24"/>
          <w:szCs w:val="24"/>
        </w:rPr>
      </w:pPr>
      <w:r w:rsidRPr="4582A713">
        <w:rPr>
          <w:sz w:val="24"/>
          <w:szCs w:val="24"/>
        </w:rPr>
        <w:t>Card 3: enrollment difference between focus institution and average of selected peers</w:t>
      </w:r>
    </w:p>
    <w:p w14:paraId="487461D4" w14:textId="74119F05" w:rsidR="006C7CDB" w:rsidRPr="006C1654" w:rsidRDefault="4582A713" w:rsidP="4582A713">
      <w:pPr>
        <w:pStyle w:val="ListParagraph"/>
        <w:numPr>
          <w:ilvl w:val="0"/>
          <w:numId w:val="5"/>
        </w:numPr>
        <w:spacing w:after="0" w:line="240" w:lineRule="auto"/>
        <w:rPr>
          <w:rFonts w:eastAsiaTheme="minorEastAsia"/>
          <w:sz w:val="24"/>
          <w:szCs w:val="24"/>
        </w:rPr>
      </w:pPr>
      <w:r w:rsidRPr="4582A713">
        <w:rPr>
          <w:sz w:val="24"/>
          <w:szCs w:val="24"/>
        </w:rPr>
        <w:t xml:space="preserve">Card 4: net revenue per full-time equivalent at the focus institution </w:t>
      </w:r>
    </w:p>
    <w:p w14:paraId="33D9DF87" w14:textId="3F363692" w:rsidR="006C7CDB" w:rsidRPr="006C1654" w:rsidRDefault="4582A713" w:rsidP="4582A713">
      <w:pPr>
        <w:pStyle w:val="ListParagraph"/>
        <w:numPr>
          <w:ilvl w:val="0"/>
          <w:numId w:val="5"/>
        </w:numPr>
        <w:spacing w:after="0" w:line="240" w:lineRule="auto"/>
        <w:rPr>
          <w:rFonts w:eastAsiaTheme="minorEastAsia"/>
          <w:sz w:val="24"/>
          <w:szCs w:val="24"/>
        </w:rPr>
      </w:pPr>
      <w:r w:rsidRPr="4582A713">
        <w:rPr>
          <w:sz w:val="24"/>
          <w:szCs w:val="24"/>
        </w:rPr>
        <w:t xml:space="preserve">Card 5: potential gain/loss in revenue if the focus institution had same enrollment as peer group (enrollment difference x net revenue per FTE) </w:t>
      </w:r>
    </w:p>
    <w:p w14:paraId="7578EE03" w14:textId="02149CFA" w:rsidR="00F3239A" w:rsidRDefault="4582A713" w:rsidP="006C1654">
      <w:pPr>
        <w:pStyle w:val="ListParagraph"/>
        <w:numPr>
          <w:ilvl w:val="0"/>
          <w:numId w:val="5"/>
        </w:numPr>
        <w:spacing w:after="0" w:line="240" w:lineRule="auto"/>
        <w:rPr>
          <w:sz w:val="24"/>
          <w:szCs w:val="24"/>
        </w:rPr>
      </w:pPr>
      <w:r w:rsidRPr="4582A713">
        <w:rPr>
          <w:sz w:val="24"/>
          <w:szCs w:val="24"/>
        </w:rPr>
        <w:t xml:space="preserve">Bar chart: undergraduate enrollment at each of the peer institutions </w:t>
      </w:r>
    </w:p>
    <w:p w14:paraId="3CE29DE6" w14:textId="3EE860C2" w:rsidR="00553DDA" w:rsidRPr="006C1654" w:rsidRDefault="4582A713" w:rsidP="006C1654">
      <w:pPr>
        <w:pStyle w:val="ListParagraph"/>
        <w:numPr>
          <w:ilvl w:val="0"/>
          <w:numId w:val="5"/>
        </w:numPr>
        <w:spacing w:after="0" w:line="240" w:lineRule="auto"/>
        <w:rPr>
          <w:sz w:val="24"/>
          <w:szCs w:val="24"/>
        </w:rPr>
      </w:pPr>
      <w:r w:rsidRPr="4582A713">
        <w:rPr>
          <w:sz w:val="24"/>
          <w:szCs w:val="24"/>
        </w:rPr>
        <w:t>Pie chart: percent of peer institutions with higher and lower undergraduate enrollment than the focus institution</w:t>
      </w:r>
    </w:p>
    <w:p w14:paraId="0F2CA74F" w14:textId="3F1B3001" w:rsidR="00F3239A" w:rsidRDefault="00F3239A"/>
    <w:p w14:paraId="110D79F2" w14:textId="4D0BFBC0" w:rsidR="00F3239A" w:rsidRDefault="00F3239A"/>
    <w:p w14:paraId="5FC5CF7D" w14:textId="42B5C6FA" w:rsidR="00F3239A" w:rsidRDefault="00F3239A"/>
    <w:p w14:paraId="697C86C8" w14:textId="694BA129" w:rsidR="00F3239A" w:rsidRDefault="00F3239A"/>
    <w:p w14:paraId="681B0DB0" w14:textId="44E03D15" w:rsidR="00F3239A" w:rsidRDefault="4582A713" w:rsidP="4582A713">
      <w:pPr>
        <w:rPr>
          <w:b/>
          <w:bCs/>
          <w:sz w:val="24"/>
          <w:szCs w:val="24"/>
        </w:rPr>
      </w:pPr>
      <w:r w:rsidRPr="4582A713">
        <w:rPr>
          <w:b/>
          <w:bCs/>
          <w:sz w:val="24"/>
          <w:szCs w:val="24"/>
        </w:rPr>
        <w:lastRenderedPageBreak/>
        <w:t>Retention Rates</w:t>
      </w:r>
    </w:p>
    <w:p w14:paraId="3742E519" w14:textId="4C8DAEA0" w:rsidR="00F3239A" w:rsidRDefault="002F559A">
      <w:r>
        <w:rPr>
          <w:noProof/>
        </w:rPr>
        <w:drawing>
          <wp:inline distT="0" distB="0" distL="0" distR="0" wp14:anchorId="163A19FA" wp14:editId="4CA246E7">
            <wp:extent cx="5943600" cy="3442335"/>
            <wp:effectExtent l="9525" t="9525" r="9525"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2335"/>
                    </a:xfrm>
                    <a:prstGeom prst="rect">
                      <a:avLst/>
                    </a:prstGeom>
                    <a:ln w="9525">
                      <a:solidFill>
                        <a:schemeClr val="bg1">
                          <a:lumMod val="95000"/>
                          <a:lumOff val="5000"/>
                        </a:schemeClr>
                      </a:solidFill>
                      <a:prstDash val="solid"/>
                    </a:ln>
                  </pic:spPr>
                </pic:pic>
              </a:graphicData>
            </a:graphic>
          </wp:inline>
        </w:drawing>
      </w:r>
    </w:p>
    <w:p w14:paraId="662714FD" w14:textId="78ACEF45" w:rsidR="4582A713" w:rsidRDefault="4582A713" w:rsidP="4582A713">
      <w:pPr>
        <w:spacing w:after="0" w:line="240" w:lineRule="auto"/>
        <w:rPr>
          <w:sz w:val="24"/>
          <w:szCs w:val="24"/>
        </w:rPr>
      </w:pPr>
      <w:r w:rsidRPr="4582A713">
        <w:rPr>
          <w:sz w:val="24"/>
          <w:szCs w:val="24"/>
        </w:rPr>
        <w:t>This page provides an overview of first-time, full-time retention rates for the most recent IPEDS data year in comparison to the selected peer group.</w:t>
      </w:r>
    </w:p>
    <w:p w14:paraId="5A87A174" w14:textId="2428F859" w:rsidR="4582A713" w:rsidRDefault="4582A713" w:rsidP="4582A713">
      <w:pPr>
        <w:spacing w:after="0" w:line="240" w:lineRule="auto"/>
        <w:rPr>
          <w:sz w:val="24"/>
          <w:szCs w:val="24"/>
        </w:rPr>
      </w:pPr>
    </w:p>
    <w:p w14:paraId="10E06361" w14:textId="4C8DAEA0" w:rsidR="00A20BF3" w:rsidRPr="00157534" w:rsidRDefault="4582A713" w:rsidP="00A20BF3">
      <w:pPr>
        <w:spacing w:after="0" w:line="240" w:lineRule="auto"/>
        <w:rPr>
          <w:sz w:val="24"/>
          <w:szCs w:val="24"/>
        </w:rPr>
      </w:pPr>
      <w:r w:rsidRPr="4582A713">
        <w:rPr>
          <w:sz w:val="24"/>
          <w:szCs w:val="24"/>
        </w:rPr>
        <w:t>Visuals include:</w:t>
      </w:r>
    </w:p>
    <w:p w14:paraId="512E6CAB" w14:textId="031A732A" w:rsidR="4582A713" w:rsidRDefault="4582A713" w:rsidP="4582A713">
      <w:pPr>
        <w:spacing w:after="0" w:line="240" w:lineRule="auto"/>
        <w:rPr>
          <w:sz w:val="24"/>
          <w:szCs w:val="24"/>
        </w:rPr>
      </w:pPr>
    </w:p>
    <w:p w14:paraId="19EA0805" w14:textId="66F473A7" w:rsidR="4582A713" w:rsidRDefault="24F2C7B3" w:rsidP="4582A713">
      <w:pPr>
        <w:pStyle w:val="ListParagraph"/>
        <w:numPr>
          <w:ilvl w:val="0"/>
          <w:numId w:val="5"/>
        </w:numPr>
        <w:spacing w:after="0" w:line="240" w:lineRule="auto"/>
        <w:rPr>
          <w:sz w:val="24"/>
          <w:szCs w:val="24"/>
        </w:rPr>
      </w:pPr>
      <w:r w:rsidRPr="24F2C7B3">
        <w:rPr>
          <w:sz w:val="24"/>
          <w:szCs w:val="24"/>
        </w:rPr>
        <w:t>Card 1: retention rate at the focus institutions</w:t>
      </w:r>
    </w:p>
    <w:p w14:paraId="089E5668" w14:textId="52591196" w:rsidR="4582A713" w:rsidRDefault="24F2C7B3" w:rsidP="24F2C7B3">
      <w:pPr>
        <w:pStyle w:val="ListParagraph"/>
        <w:numPr>
          <w:ilvl w:val="0"/>
          <w:numId w:val="5"/>
        </w:numPr>
        <w:spacing w:after="0" w:line="240" w:lineRule="auto"/>
        <w:rPr>
          <w:rFonts w:eastAsiaTheme="minorEastAsia"/>
          <w:sz w:val="24"/>
          <w:szCs w:val="24"/>
        </w:rPr>
      </w:pPr>
      <w:r w:rsidRPr="24F2C7B3">
        <w:rPr>
          <w:sz w:val="24"/>
          <w:szCs w:val="24"/>
        </w:rPr>
        <w:t>Card 2: average retention rate for selected peer group</w:t>
      </w:r>
    </w:p>
    <w:p w14:paraId="016A4BCB" w14:textId="30FD864A" w:rsidR="4582A713" w:rsidRDefault="24F2C7B3" w:rsidP="24F2C7B3">
      <w:pPr>
        <w:pStyle w:val="ListParagraph"/>
        <w:numPr>
          <w:ilvl w:val="0"/>
          <w:numId w:val="5"/>
        </w:numPr>
        <w:spacing w:after="0" w:line="240" w:lineRule="auto"/>
        <w:rPr>
          <w:rFonts w:eastAsiaTheme="minorEastAsia"/>
          <w:sz w:val="24"/>
          <w:szCs w:val="24"/>
        </w:rPr>
      </w:pPr>
      <w:r w:rsidRPr="24F2C7B3">
        <w:rPr>
          <w:sz w:val="24"/>
          <w:szCs w:val="24"/>
        </w:rPr>
        <w:t>Card 3: difference between focus institution retention rate and average of selected peers</w:t>
      </w:r>
    </w:p>
    <w:p w14:paraId="488D2070" w14:textId="155DCCAB" w:rsidR="24F2C7B3" w:rsidRDefault="24F2C7B3" w:rsidP="24F2C7B3">
      <w:pPr>
        <w:pStyle w:val="ListParagraph"/>
        <w:numPr>
          <w:ilvl w:val="0"/>
          <w:numId w:val="5"/>
        </w:numPr>
        <w:spacing w:after="0" w:line="240" w:lineRule="auto"/>
        <w:rPr>
          <w:rFonts w:eastAsiaTheme="minorEastAsia"/>
          <w:sz w:val="24"/>
          <w:szCs w:val="24"/>
        </w:rPr>
      </w:pPr>
      <w:r w:rsidRPr="24F2C7B3">
        <w:rPr>
          <w:sz w:val="24"/>
          <w:szCs w:val="24"/>
        </w:rPr>
        <w:t xml:space="preserve">Card 4: estimated total net revenue for retained students (number of cohort students retained x net revenue per FTE)  </w:t>
      </w:r>
    </w:p>
    <w:p w14:paraId="463336F3" w14:textId="2CA20C92" w:rsidR="24F2C7B3" w:rsidRDefault="24F2C7B3" w:rsidP="24F2C7B3">
      <w:pPr>
        <w:pStyle w:val="ListParagraph"/>
        <w:numPr>
          <w:ilvl w:val="0"/>
          <w:numId w:val="5"/>
        </w:numPr>
        <w:spacing w:after="0" w:line="240" w:lineRule="auto"/>
        <w:rPr>
          <w:rFonts w:eastAsiaTheme="minorEastAsia"/>
          <w:sz w:val="24"/>
          <w:szCs w:val="24"/>
        </w:rPr>
      </w:pPr>
      <w:r w:rsidRPr="24F2C7B3">
        <w:rPr>
          <w:sz w:val="24"/>
          <w:szCs w:val="24"/>
        </w:rPr>
        <w:t xml:space="preserve">Card 5: estimated loss in revenue for students who were not retained (number of cohort students not retained x net revenue per FTE) </w:t>
      </w:r>
    </w:p>
    <w:p w14:paraId="0865D5ED" w14:textId="35288ACA" w:rsidR="4582A713" w:rsidRDefault="24F2C7B3" w:rsidP="4582A713">
      <w:pPr>
        <w:pStyle w:val="ListParagraph"/>
        <w:numPr>
          <w:ilvl w:val="0"/>
          <w:numId w:val="5"/>
        </w:numPr>
        <w:spacing w:after="0" w:line="240" w:lineRule="auto"/>
        <w:rPr>
          <w:sz w:val="24"/>
          <w:szCs w:val="24"/>
        </w:rPr>
      </w:pPr>
      <w:r w:rsidRPr="24F2C7B3">
        <w:rPr>
          <w:sz w:val="24"/>
          <w:szCs w:val="24"/>
        </w:rPr>
        <w:t xml:space="preserve">Bar chart: retention rate at each of the peer institutions </w:t>
      </w:r>
    </w:p>
    <w:p w14:paraId="54126E68" w14:textId="69F3FD50" w:rsidR="4582A713" w:rsidRDefault="24F2C7B3" w:rsidP="4582A713">
      <w:pPr>
        <w:pStyle w:val="ListParagraph"/>
        <w:numPr>
          <w:ilvl w:val="0"/>
          <w:numId w:val="5"/>
        </w:numPr>
        <w:spacing w:after="0" w:line="240" w:lineRule="auto"/>
        <w:rPr>
          <w:sz w:val="24"/>
          <w:szCs w:val="24"/>
        </w:rPr>
      </w:pPr>
      <w:r w:rsidRPr="24F2C7B3">
        <w:rPr>
          <w:sz w:val="24"/>
          <w:szCs w:val="24"/>
        </w:rPr>
        <w:t>Pie chart: percent of peer institutions with higher and lower retention rates than the focus institution</w:t>
      </w:r>
    </w:p>
    <w:p w14:paraId="78ADC456" w14:textId="04783E60" w:rsidR="4582A713" w:rsidRDefault="4582A713" w:rsidP="4582A713">
      <w:pPr>
        <w:spacing w:after="0" w:line="240" w:lineRule="auto"/>
        <w:rPr>
          <w:sz w:val="24"/>
          <w:szCs w:val="24"/>
        </w:rPr>
      </w:pPr>
    </w:p>
    <w:p w14:paraId="23FE429F" w14:textId="6C4E85BB" w:rsidR="002F559A" w:rsidRDefault="002F559A"/>
    <w:p w14:paraId="1B6D4B13" w14:textId="4AE5E05C" w:rsidR="002F559A" w:rsidRDefault="002F559A"/>
    <w:p w14:paraId="41D2C55A" w14:textId="4DE9DE78" w:rsidR="002F559A" w:rsidRDefault="002F559A"/>
    <w:p w14:paraId="20087418" w14:textId="4C8DAEA0" w:rsidR="002F559A" w:rsidRDefault="002F559A"/>
    <w:p w14:paraId="6AEB9BA0" w14:textId="01FBA094" w:rsidR="24F2C7B3" w:rsidRDefault="24F2C7B3" w:rsidP="24F2C7B3">
      <w:pPr>
        <w:rPr>
          <w:b/>
          <w:bCs/>
          <w:sz w:val="24"/>
          <w:szCs w:val="24"/>
        </w:rPr>
      </w:pPr>
    </w:p>
    <w:p w14:paraId="6DAA1375" w14:textId="1E7A4056" w:rsidR="002F559A" w:rsidRDefault="24F2C7B3" w:rsidP="24F2C7B3">
      <w:pPr>
        <w:rPr>
          <w:b/>
          <w:bCs/>
          <w:sz w:val="24"/>
          <w:szCs w:val="24"/>
        </w:rPr>
      </w:pPr>
      <w:r w:rsidRPr="24F2C7B3">
        <w:rPr>
          <w:b/>
          <w:bCs/>
          <w:sz w:val="24"/>
          <w:szCs w:val="24"/>
        </w:rPr>
        <w:t xml:space="preserve">In-State Tuition and Fees </w:t>
      </w:r>
    </w:p>
    <w:p w14:paraId="51D788EA" w14:textId="48FAB20F" w:rsidR="002F559A" w:rsidRDefault="002F559A">
      <w:r>
        <w:rPr>
          <w:noProof/>
        </w:rPr>
        <w:drawing>
          <wp:inline distT="0" distB="0" distL="0" distR="0" wp14:anchorId="548DD14D" wp14:editId="0FF5D441">
            <wp:extent cx="5943600" cy="3437890"/>
            <wp:effectExtent l="9525" t="9525" r="9525"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7890"/>
                    </a:xfrm>
                    <a:prstGeom prst="rect">
                      <a:avLst/>
                    </a:prstGeom>
                    <a:ln w="9525">
                      <a:solidFill>
                        <a:schemeClr val="bg1">
                          <a:lumMod val="95000"/>
                          <a:lumOff val="5000"/>
                        </a:schemeClr>
                      </a:solidFill>
                      <a:prstDash val="solid"/>
                    </a:ln>
                  </pic:spPr>
                </pic:pic>
              </a:graphicData>
            </a:graphic>
          </wp:inline>
        </w:drawing>
      </w:r>
    </w:p>
    <w:p w14:paraId="77B8B31F" w14:textId="6FFC9250" w:rsidR="002F559A" w:rsidRDefault="24F2C7B3" w:rsidP="24F2C7B3">
      <w:pPr>
        <w:spacing w:after="0" w:line="240" w:lineRule="auto"/>
        <w:rPr>
          <w:sz w:val="24"/>
          <w:szCs w:val="24"/>
        </w:rPr>
      </w:pPr>
      <w:r w:rsidRPr="24F2C7B3">
        <w:rPr>
          <w:sz w:val="24"/>
          <w:szCs w:val="24"/>
        </w:rPr>
        <w:t>This page provides an overview of in-state undergraduate tuition and fees for the most recent IPEDS data year in comparison to the selected peer group.</w:t>
      </w:r>
    </w:p>
    <w:p w14:paraId="652DED8E" w14:textId="2428F859" w:rsidR="002F559A" w:rsidRDefault="002F559A" w:rsidP="24F2C7B3">
      <w:pPr>
        <w:spacing w:after="0" w:line="240" w:lineRule="auto"/>
        <w:rPr>
          <w:sz w:val="24"/>
          <w:szCs w:val="24"/>
        </w:rPr>
      </w:pPr>
    </w:p>
    <w:p w14:paraId="33F19876" w14:textId="4C8DAEA0" w:rsidR="002F559A" w:rsidRDefault="24F2C7B3" w:rsidP="24F2C7B3">
      <w:pPr>
        <w:spacing w:after="0" w:line="240" w:lineRule="auto"/>
        <w:rPr>
          <w:sz w:val="24"/>
          <w:szCs w:val="24"/>
        </w:rPr>
      </w:pPr>
      <w:r w:rsidRPr="24F2C7B3">
        <w:rPr>
          <w:sz w:val="24"/>
          <w:szCs w:val="24"/>
        </w:rPr>
        <w:t>Visuals include:</w:t>
      </w:r>
    </w:p>
    <w:p w14:paraId="227298B6" w14:textId="031A732A" w:rsidR="002F559A" w:rsidRDefault="002F559A" w:rsidP="24F2C7B3">
      <w:pPr>
        <w:spacing w:after="0" w:line="240" w:lineRule="auto"/>
        <w:rPr>
          <w:sz w:val="24"/>
          <w:szCs w:val="24"/>
        </w:rPr>
      </w:pPr>
    </w:p>
    <w:p w14:paraId="515E3E9A" w14:textId="0DE632CD" w:rsidR="002F559A" w:rsidRDefault="24F2C7B3" w:rsidP="24F2C7B3">
      <w:pPr>
        <w:pStyle w:val="ListParagraph"/>
        <w:numPr>
          <w:ilvl w:val="0"/>
          <w:numId w:val="5"/>
        </w:numPr>
        <w:spacing w:after="0" w:line="240" w:lineRule="auto"/>
        <w:rPr>
          <w:sz w:val="24"/>
          <w:szCs w:val="24"/>
        </w:rPr>
      </w:pPr>
      <w:r w:rsidRPr="24F2C7B3">
        <w:rPr>
          <w:sz w:val="24"/>
          <w:szCs w:val="24"/>
        </w:rPr>
        <w:t>Card 1: in-state tuition and fees at the focus institutions</w:t>
      </w:r>
    </w:p>
    <w:p w14:paraId="5DA1BD49" w14:textId="527B6CF0" w:rsidR="002F559A" w:rsidRDefault="24F2C7B3" w:rsidP="24F2C7B3">
      <w:pPr>
        <w:pStyle w:val="ListParagraph"/>
        <w:numPr>
          <w:ilvl w:val="0"/>
          <w:numId w:val="5"/>
        </w:numPr>
        <w:spacing w:after="0" w:line="240" w:lineRule="auto"/>
        <w:rPr>
          <w:rFonts w:eastAsiaTheme="minorEastAsia"/>
          <w:sz w:val="24"/>
          <w:szCs w:val="24"/>
        </w:rPr>
      </w:pPr>
      <w:r w:rsidRPr="24F2C7B3">
        <w:rPr>
          <w:sz w:val="24"/>
          <w:szCs w:val="24"/>
        </w:rPr>
        <w:t>Card 2: average in-state tuition and fees for selected peer group</w:t>
      </w:r>
    </w:p>
    <w:p w14:paraId="56FF8334" w14:textId="7A91ACF2" w:rsidR="002F559A" w:rsidRDefault="24F2C7B3" w:rsidP="24F2C7B3">
      <w:pPr>
        <w:pStyle w:val="ListParagraph"/>
        <w:numPr>
          <w:ilvl w:val="0"/>
          <w:numId w:val="5"/>
        </w:numPr>
        <w:spacing w:after="0" w:line="240" w:lineRule="auto"/>
        <w:rPr>
          <w:rFonts w:eastAsiaTheme="minorEastAsia"/>
          <w:sz w:val="24"/>
          <w:szCs w:val="24"/>
        </w:rPr>
      </w:pPr>
      <w:r w:rsidRPr="24F2C7B3">
        <w:rPr>
          <w:sz w:val="24"/>
          <w:szCs w:val="24"/>
        </w:rPr>
        <w:t>Card 3: difference between focus institution in-state tuition and fees and average of selected peers</w:t>
      </w:r>
    </w:p>
    <w:p w14:paraId="7661C597" w14:textId="52FB9981" w:rsidR="002F559A" w:rsidRDefault="24F2C7B3" w:rsidP="24F2C7B3">
      <w:pPr>
        <w:pStyle w:val="ListParagraph"/>
        <w:numPr>
          <w:ilvl w:val="0"/>
          <w:numId w:val="5"/>
        </w:numPr>
        <w:spacing w:after="0" w:line="240" w:lineRule="auto"/>
        <w:rPr>
          <w:rFonts w:eastAsiaTheme="minorEastAsia"/>
          <w:sz w:val="24"/>
          <w:szCs w:val="24"/>
        </w:rPr>
      </w:pPr>
      <w:r w:rsidRPr="24F2C7B3">
        <w:rPr>
          <w:sz w:val="24"/>
          <w:szCs w:val="24"/>
        </w:rPr>
        <w:t>Card 4: Fall full-time equivalent enrollment (FTE) at focus institution</w:t>
      </w:r>
    </w:p>
    <w:p w14:paraId="5E4D1190" w14:textId="122321B5" w:rsidR="002F559A" w:rsidRDefault="24F2C7B3" w:rsidP="24F2C7B3">
      <w:pPr>
        <w:pStyle w:val="ListParagraph"/>
        <w:numPr>
          <w:ilvl w:val="0"/>
          <w:numId w:val="5"/>
        </w:numPr>
        <w:spacing w:after="0" w:line="240" w:lineRule="auto"/>
        <w:rPr>
          <w:rFonts w:eastAsiaTheme="minorEastAsia"/>
          <w:sz w:val="24"/>
          <w:szCs w:val="24"/>
        </w:rPr>
      </w:pPr>
      <w:r w:rsidRPr="24F2C7B3">
        <w:rPr>
          <w:sz w:val="24"/>
          <w:szCs w:val="24"/>
        </w:rPr>
        <w:t xml:space="preserve">Card 5: potential gain/loss in revenue if the focus institution had same in-state tuition and fees as peer group (tuition and fees difference x Fall FTE) </w:t>
      </w:r>
    </w:p>
    <w:p w14:paraId="4F84C0CA" w14:textId="1833683B" w:rsidR="002F559A" w:rsidRDefault="24F2C7B3" w:rsidP="24F2C7B3">
      <w:pPr>
        <w:pStyle w:val="ListParagraph"/>
        <w:numPr>
          <w:ilvl w:val="0"/>
          <w:numId w:val="5"/>
        </w:numPr>
        <w:spacing w:after="0" w:line="240" w:lineRule="auto"/>
        <w:rPr>
          <w:rFonts w:eastAsiaTheme="minorEastAsia"/>
          <w:sz w:val="24"/>
          <w:szCs w:val="24"/>
        </w:rPr>
      </w:pPr>
      <w:r w:rsidRPr="24F2C7B3">
        <w:rPr>
          <w:sz w:val="24"/>
          <w:szCs w:val="24"/>
        </w:rPr>
        <w:t xml:space="preserve">Bar chart: in-state tuition and fees at each of the peer institutions </w:t>
      </w:r>
    </w:p>
    <w:p w14:paraId="7703DD44" w14:textId="5279C013" w:rsidR="002F559A" w:rsidRDefault="24F2C7B3" w:rsidP="24F2C7B3">
      <w:pPr>
        <w:pStyle w:val="ListParagraph"/>
        <w:numPr>
          <w:ilvl w:val="0"/>
          <w:numId w:val="5"/>
        </w:numPr>
        <w:spacing w:after="0" w:line="240" w:lineRule="auto"/>
        <w:rPr>
          <w:sz w:val="24"/>
          <w:szCs w:val="24"/>
        </w:rPr>
      </w:pPr>
      <w:r w:rsidRPr="24F2C7B3">
        <w:rPr>
          <w:sz w:val="24"/>
          <w:szCs w:val="24"/>
        </w:rPr>
        <w:t>Pie chart: percent of peer institutions with higher and lower in-state tuition and fees than the focus institution</w:t>
      </w:r>
    </w:p>
    <w:p w14:paraId="22D4FBBB" w14:textId="7EC3DA59" w:rsidR="002F559A" w:rsidRDefault="002F559A" w:rsidP="24F2C7B3"/>
    <w:p w14:paraId="631BF0D4" w14:textId="41F2D90C" w:rsidR="002F559A" w:rsidRDefault="002F559A"/>
    <w:p w14:paraId="1C7D67A5" w14:textId="11FDE6F5" w:rsidR="002F559A" w:rsidRDefault="002F559A"/>
    <w:p w14:paraId="00C322B1" w14:textId="20B20A71" w:rsidR="24F2C7B3" w:rsidRDefault="24F2C7B3"/>
    <w:p w14:paraId="19C4E9B9" w14:textId="76A12D57" w:rsidR="24F2C7B3" w:rsidRDefault="24F2C7B3" w:rsidP="24F2C7B3">
      <w:pPr>
        <w:rPr>
          <w:b/>
          <w:bCs/>
          <w:sz w:val="24"/>
          <w:szCs w:val="24"/>
        </w:rPr>
      </w:pPr>
    </w:p>
    <w:p w14:paraId="124881BE" w14:textId="1E698BE4" w:rsidR="002F559A" w:rsidRDefault="24F2C7B3" w:rsidP="24F2C7B3">
      <w:pPr>
        <w:rPr>
          <w:b/>
          <w:bCs/>
          <w:sz w:val="24"/>
          <w:szCs w:val="24"/>
        </w:rPr>
      </w:pPr>
      <w:r w:rsidRPr="24F2C7B3">
        <w:rPr>
          <w:b/>
          <w:bCs/>
          <w:sz w:val="24"/>
          <w:szCs w:val="24"/>
        </w:rPr>
        <w:t>Instructional Expenses per FTE</w:t>
      </w:r>
    </w:p>
    <w:p w14:paraId="783D0D61" w14:textId="4C8DAEA0" w:rsidR="002F559A" w:rsidRDefault="002F559A">
      <w:r>
        <w:rPr>
          <w:noProof/>
        </w:rPr>
        <w:drawing>
          <wp:inline distT="0" distB="0" distL="0" distR="0" wp14:anchorId="1EF0F083" wp14:editId="2A5E88FA">
            <wp:extent cx="5943600" cy="3432810"/>
            <wp:effectExtent l="9525" t="9525" r="9525" b="9525"/>
            <wp:docPr id="16" name="Picture 1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2810"/>
                    </a:xfrm>
                    <a:prstGeom prst="rect">
                      <a:avLst/>
                    </a:prstGeom>
                    <a:ln w="9525">
                      <a:solidFill>
                        <a:schemeClr val="bg1">
                          <a:lumMod val="95000"/>
                          <a:lumOff val="5000"/>
                        </a:schemeClr>
                      </a:solidFill>
                      <a:prstDash val="solid"/>
                    </a:ln>
                  </pic:spPr>
                </pic:pic>
              </a:graphicData>
            </a:graphic>
          </wp:inline>
        </w:drawing>
      </w:r>
    </w:p>
    <w:p w14:paraId="009089AC" w14:textId="16BBA92F" w:rsidR="24F2C7B3" w:rsidRDefault="24F2C7B3" w:rsidP="24F2C7B3">
      <w:pPr>
        <w:spacing w:after="0" w:line="240" w:lineRule="auto"/>
        <w:rPr>
          <w:sz w:val="24"/>
          <w:szCs w:val="24"/>
        </w:rPr>
      </w:pPr>
    </w:p>
    <w:p w14:paraId="31EE7A04" w14:textId="603FA994" w:rsidR="24F2C7B3" w:rsidRDefault="24F2C7B3" w:rsidP="24F2C7B3">
      <w:pPr>
        <w:spacing w:after="0" w:line="240" w:lineRule="auto"/>
        <w:rPr>
          <w:sz w:val="24"/>
          <w:szCs w:val="24"/>
        </w:rPr>
      </w:pPr>
      <w:r w:rsidRPr="24F2C7B3">
        <w:rPr>
          <w:sz w:val="24"/>
          <w:szCs w:val="24"/>
        </w:rPr>
        <w:t>This page provides an overview of instructional expenses per full-time equivalent student (FTE) for the most recent IPEDS data year in comparison to the selected peer group.</w:t>
      </w:r>
    </w:p>
    <w:p w14:paraId="6ECC30C2" w14:textId="2428F859" w:rsidR="24F2C7B3" w:rsidRDefault="24F2C7B3" w:rsidP="24F2C7B3">
      <w:pPr>
        <w:spacing w:after="0" w:line="240" w:lineRule="auto"/>
        <w:rPr>
          <w:sz w:val="24"/>
          <w:szCs w:val="24"/>
        </w:rPr>
      </w:pPr>
    </w:p>
    <w:p w14:paraId="0FF3043F" w14:textId="4C8DAEA0" w:rsidR="24F2C7B3" w:rsidRDefault="24F2C7B3" w:rsidP="24F2C7B3">
      <w:pPr>
        <w:spacing w:after="0" w:line="240" w:lineRule="auto"/>
        <w:rPr>
          <w:sz w:val="24"/>
          <w:szCs w:val="24"/>
        </w:rPr>
      </w:pPr>
      <w:r w:rsidRPr="24F2C7B3">
        <w:rPr>
          <w:sz w:val="24"/>
          <w:szCs w:val="24"/>
        </w:rPr>
        <w:t>Visuals include:</w:t>
      </w:r>
    </w:p>
    <w:p w14:paraId="0D0D326C" w14:textId="031A732A" w:rsidR="24F2C7B3" w:rsidRDefault="24F2C7B3" w:rsidP="24F2C7B3">
      <w:pPr>
        <w:spacing w:after="0" w:line="240" w:lineRule="auto"/>
        <w:rPr>
          <w:sz w:val="24"/>
          <w:szCs w:val="24"/>
        </w:rPr>
      </w:pPr>
    </w:p>
    <w:p w14:paraId="78D2D429" w14:textId="3BFA8F0D" w:rsidR="24F2C7B3" w:rsidRPr="009A379B" w:rsidRDefault="24F2C7B3" w:rsidP="009A379B">
      <w:pPr>
        <w:spacing w:after="0" w:line="240" w:lineRule="auto"/>
        <w:ind w:left="360"/>
        <w:rPr>
          <w:rFonts w:eastAsiaTheme="minorEastAsia"/>
          <w:sz w:val="24"/>
          <w:szCs w:val="24"/>
        </w:rPr>
      </w:pPr>
      <w:r w:rsidRPr="009A379B">
        <w:rPr>
          <w:sz w:val="24"/>
          <w:szCs w:val="24"/>
        </w:rPr>
        <w:t>Card 1: instructional expenses per FTE at the focus institutions</w:t>
      </w:r>
    </w:p>
    <w:p w14:paraId="52172BE8" w14:textId="4693D8DD" w:rsidR="24F2C7B3" w:rsidRPr="009A379B" w:rsidRDefault="24F2C7B3" w:rsidP="009A379B">
      <w:pPr>
        <w:spacing w:after="0" w:line="240" w:lineRule="auto"/>
        <w:ind w:left="360"/>
        <w:rPr>
          <w:rFonts w:eastAsiaTheme="minorEastAsia"/>
          <w:sz w:val="24"/>
          <w:szCs w:val="24"/>
        </w:rPr>
      </w:pPr>
      <w:r w:rsidRPr="009A379B">
        <w:rPr>
          <w:sz w:val="24"/>
          <w:szCs w:val="24"/>
        </w:rPr>
        <w:t>Card 2: average instructional expenses per FTE for selected peer group</w:t>
      </w:r>
    </w:p>
    <w:p w14:paraId="3A79C383" w14:textId="3FAFF4CC" w:rsidR="24F2C7B3" w:rsidRPr="009A379B" w:rsidRDefault="24F2C7B3" w:rsidP="009A379B">
      <w:pPr>
        <w:spacing w:after="0" w:line="240" w:lineRule="auto"/>
        <w:ind w:left="360"/>
        <w:rPr>
          <w:rFonts w:eastAsiaTheme="minorEastAsia"/>
          <w:sz w:val="24"/>
          <w:szCs w:val="24"/>
        </w:rPr>
      </w:pPr>
      <w:r w:rsidRPr="009A379B">
        <w:rPr>
          <w:sz w:val="24"/>
          <w:szCs w:val="24"/>
        </w:rPr>
        <w:t>Card 3: difference between focus institution instructional expenses per FTE and average of selected peers</w:t>
      </w:r>
    </w:p>
    <w:p w14:paraId="53C3E96D" w14:textId="52FB9981" w:rsidR="24F2C7B3" w:rsidRPr="009A379B" w:rsidRDefault="24F2C7B3" w:rsidP="009A379B">
      <w:pPr>
        <w:spacing w:after="0" w:line="240" w:lineRule="auto"/>
        <w:ind w:left="360"/>
        <w:rPr>
          <w:rFonts w:eastAsiaTheme="minorEastAsia"/>
          <w:sz w:val="24"/>
          <w:szCs w:val="24"/>
        </w:rPr>
      </w:pPr>
      <w:r w:rsidRPr="009A379B">
        <w:rPr>
          <w:sz w:val="24"/>
          <w:szCs w:val="24"/>
        </w:rPr>
        <w:t>Card 4: Fall full-time equivalent enrollment (FTE) at focus institution</w:t>
      </w:r>
    </w:p>
    <w:p w14:paraId="4E4C3EB5" w14:textId="5E18C7C0" w:rsidR="24F2C7B3" w:rsidRPr="009A379B" w:rsidRDefault="24F2C7B3" w:rsidP="009A379B">
      <w:pPr>
        <w:spacing w:after="0" w:line="240" w:lineRule="auto"/>
        <w:ind w:left="360"/>
        <w:rPr>
          <w:rFonts w:eastAsiaTheme="minorEastAsia"/>
          <w:sz w:val="24"/>
          <w:szCs w:val="24"/>
        </w:rPr>
      </w:pPr>
      <w:r w:rsidRPr="009A379B">
        <w:rPr>
          <w:sz w:val="24"/>
          <w:szCs w:val="24"/>
        </w:rPr>
        <w:t xml:space="preserve">Card 5: potential gain/loss in revenue if the focus institution had same instructional expenses per FTE as peer group (instructional expenses per FTE difference x Fall FTE) </w:t>
      </w:r>
    </w:p>
    <w:p w14:paraId="3B507C65" w14:textId="354B1D99" w:rsidR="24F2C7B3" w:rsidRPr="009A379B" w:rsidRDefault="24F2C7B3" w:rsidP="009A379B">
      <w:pPr>
        <w:spacing w:after="0" w:line="240" w:lineRule="auto"/>
        <w:ind w:left="360"/>
        <w:rPr>
          <w:rFonts w:eastAsiaTheme="minorEastAsia"/>
          <w:sz w:val="24"/>
          <w:szCs w:val="24"/>
        </w:rPr>
      </w:pPr>
      <w:r w:rsidRPr="009A379B">
        <w:rPr>
          <w:sz w:val="24"/>
          <w:szCs w:val="24"/>
        </w:rPr>
        <w:t xml:space="preserve">Bar chart: instructional expenses per FTE at each of the peer institutions </w:t>
      </w:r>
    </w:p>
    <w:p w14:paraId="1B939589" w14:textId="52ACD87F" w:rsidR="24F2C7B3" w:rsidRPr="009A379B" w:rsidRDefault="24F2C7B3" w:rsidP="009A379B">
      <w:pPr>
        <w:spacing w:after="0" w:line="240" w:lineRule="auto"/>
        <w:ind w:left="360"/>
        <w:rPr>
          <w:rFonts w:eastAsiaTheme="minorEastAsia"/>
          <w:sz w:val="24"/>
          <w:szCs w:val="24"/>
        </w:rPr>
      </w:pPr>
      <w:r w:rsidRPr="009A379B">
        <w:rPr>
          <w:sz w:val="24"/>
          <w:szCs w:val="24"/>
        </w:rPr>
        <w:t>Pie chart: percent of peer institutions with higher and lower instructional expenses per FTE than the focus institution</w:t>
      </w:r>
    </w:p>
    <w:p w14:paraId="56D180A3" w14:textId="7DD2A1E7" w:rsidR="24F2C7B3" w:rsidRDefault="24F2C7B3" w:rsidP="24F2C7B3">
      <w:pPr>
        <w:spacing w:after="0" w:line="240" w:lineRule="auto"/>
        <w:rPr>
          <w:sz w:val="24"/>
          <w:szCs w:val="24"/>
        </w:rPr>
      </w:pPr>
    </w:p>
    <w:p w14:paraId="07C4E48B" w14:textId="77777777" w:rsidR="00DF3E8A" w:rsidRDefault="00DF3E8A" w:rsidP="24F2C7B3">
      <w:pPr>
        <w:spacing w:after="0" w:line="240" w:lineRule="auto"/>
        <w:rPr>
          <w:sz w:val="24"/>
          <w:szCs w:val="24"/>
        </w:rPr>
      </w:pPr>
    </w:p>
    <w:p w14:paraId="01EDB5CA" w14:textId="77777777" w:rsidR="00DF3E8A" w:rsidRDefault="00DF3E8A" w:rsidP="24F2C7B3">
      <w:pPr>
        <w:spacing w:after="0" w:line="240" w:lineRule="auto"/>
        <w:rPr>
          <w:sz w:val="24"/>
          <w:szCs w:val="24"/>
        </w:rPr>
      </w:pPr>
    </w:p>
    <w:p w14:paraId="6709482A" w14:textId="77777777" w:rsidR="00DF3E8A" w:rsidRDefault="00DF3E8A" w:rsidP="24F2C7B3">
      <w:pPr>
        <w:spacing w:after="0" w:line="240" w:lineRule="auto"/>
        <w:rPr>
          <w:sz w:val="24"/>
          <w:szCs w:val="24"/>
        </w:rPr>
      </w:pPr>
    </w:p>
    <w:p w14:paraId="440B0630" w14:textId="77777777" w:rsidR="00DF3E8A" w:rsidRDefault="00DF3E8A" w:rsidP="24F2C7B3">
      <w:pPr>
        <w:spacing w:after="0" w:line="240" w:lineRule="auto"/>
        <w:rPr>
          <w:sz w:val="24"/>
          <w:szCs w:val="24"/>
        </w:rPr>
      </w:pPr>
    </w:p>
    <w:p w14:paraId="77A96CD9" w14:textId="321D4EC7" w:rsidR="00DF3E8A" w:rsidRPr="004446D2" w:rsidRDefault="004446D2" w:rsidP="004446D2">
      <w:pPr>
        <w:shd w:val="clear" w:color="auto" w:fill="FFFFFF"/>
        <w:spacing w:before="360" w:after="240" w:line="240" w:lineRule="auto"/>
        <w:outlineLvl w:val="1"/>
        <w:rPr>
          <w:rFonts w:ascii="Segoe UI" w:eastAsia="Times New Roman" w:hAnsi="Segoe UI" w:cs="Segoe UI"/>
          <w:b/>
          <w:bCs/>
          <w:color w:val="24292F"/>
          <w:sz w:val="36"/>
          <w:szCs w:val="36"/>
        </w:rPr>
      </w:pPr>
      <w:r w:rsidRPr="004446D2">
        <w:rPr>
          <w:rFonts w:ascii="Segoe UI" w:eastAsia="Times New Roman" w:hAnsi="Segoe UI" w:cs="Segoe UI"/>
          <w:b/>
          <w:bCs/>
          <w:color w:val="24292F"/>
          <w:sz w:val="36"/>
          <w:szCs w:val="36"/>
        </w:rPr>
        <w:lastRenderedPageBreak/>
        <w:t>Semantic Model</w:t>
      </w:r>
    </w:p>
    <w:p w14:paraId="5596705D" w14:textId="77777777" w:rsidR="00DF3E8A" w:rsidRDefault="00DF3E8A" w:rsidP="24F2C7B3">
      <w:pPr>
        <w:spacing w:after="0" w:line="240" w:lineRule="auto"/>
        <w:rPr>
          <w:sz w:val="24"/>
          <w:szCs w:val="24"/>
        </w:rPr>
      </w:pPr>
    </w:p>
    <w:p w14:paraId="4574B367" w14:textId="687762DF" w:rsidR="00DF3E8A" w:rsidRDefault="00DF3E8A" w:rsidP="24F2C7B3">
      <w:pPr>
        <w:spacing w:after="0" w:line="240" w:lineRule="auto"/>
        <w:rPr>
          <w:sz w:val="24"/>
          <w:szCs w:val="24"/>
        </w:rPr>
      </w:pPr>
      <w:r w:rsidRPr="00DF3E8A">
        <w:rPr>
          <w:sz w:val="24"/>
          <w:szCs w:val="24"/>
        </w:rPr>
        <w:drawing>
          <wp:inline distT="0" distB="0" distL="0" distR="0" wp14:anchorId="4718EDFC" wp14:editId="2075E537">
            <wp:extent cx="5943600" cy="3046730"/>
            <wp:effectExtent l="0" t="0" r="0" b="127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5"/>
                    <a:stretch>
                      <a:fillRect/>
                    </a:stretch>
                  </pic:blipFill>
                  <pic:spPr>
                    <a:xfrm>
                      <a:off x="0" y="0"/>
                      <a:ext cx="5943600" cy="3046730"/>
                    </a:xfrm>
                    <a:prstGeom prst="rect">
                      <a:avLst/>
                    </a:prstGeom>
                  </pic:spPr>
                </pic:pic>
              </a:graphicData>
            </a:graphic>
          </wp:inline>
        </w:drawing>
      </w:r>
    </w:p>
    <w:sectPr w:rsidR="00DF3E8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CD51" w14:textId="77777777" w:rsidR="00E460FA" w:rsidRDefault="00E460FA" w:rsidP="002F559A">
      <w:pPr>
        <w:spacing w:after="0" w:line="240" w:lineRule="auto"/>
      </w:pPr>
      <w:r>
        <w:separator/>
      </w:r>
    </w:p>
  </w:endnote>
  <w:endnote w:type="continuationSeparator" w:id="0">
    <w:p w14:paraId="2C6B4098" w14:textId="77777777" w:rsidR="00E460FA" w:rsidRDefault="00E460FA" w:rsidP="002F559A">
      <w:pPr>
        <w:spacing w:after="0" w:line="240" w:lineRule="auto"/>
      </w:pPr>
      <w:r>
        <w:continuationSeparator/>
      </w:r>
    </w:p>
  </w:endnote>
  <w:endnote w:type="continuationNotice" w:id="1">
    <w:p w14:paraId="0ED79413" w14:textId="77777777" w:rsidR="00E460FA" w:rsidRDefault="00E460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0D2B" w14:textId="65FFC02A" w:rsidR="00A27405" w:rsidRDefault="00A27405">
    <w:pPr>
      <w:pStyle w:val="Footer"/>
    </w:pPr>
    <w:r w:rsidRPr="006C0D64">
      <w:rPr>
        <w:noProof/>
        <w:color w:val="7F7F7F" w:themeColor="background1" w:themeShade="7F"/>
        <w:spacing w:val="60"/>
      </w:rPr>
      <mc:AlternateContent>
        <mc:Choice Requires="wpg">
          <w:drawing>
            <wp:anchor distT="0" distB="0" distL="114300" distR="114300" simplePos="0" relativeHeight="251658241" behindDoc="0" locked="0" layoutInCell="1" allowOverlap="1" wp14:anchorId="1F7BEC71" wp14:editId="4CC3CEB2">
              <wp:simplePos x="0" y="0"/>
              <wp:positionH relativeFrom="margin">
                <wp:posOffset>-552450</wp:posOffset>
              </wp:positionH>
              <wp:positionV relativeFrom="bottomMargin">
                <wp:posOffset>0</wp:posOffset>
              </wp:positionV>
              <wp:extent cx="6912474" cy="733068"/>
              <wp:effectExtent l="0" t="0" r="0" b="0"/>
              <wp:wrapNone/>
              <wp:docPr id="18" name="Group 18"/>
              <wp:cNvGraphicFramePr/>
              <a:graphic xmlns:a="http://schemas.openxmlformats.org/drawingml/2006/main">
                <a:graphicData uri="http://schemas.microsoft.com/office/word/2010/wordprocessingGroup">
                  <wpg:wgp>
                    <wpg:cNvGrpSpPr/>
                    <wpg:grpSpPr>
                      <a:xfrm>
                        <a:off x="0" y="0"/>
                        <a:ext cx="6912473" cy="733068"/>
                        <a:chOff x="-7657" y="-21134"/>
                        <a:chExt cx="6136323" cy="671314"/>
                      </a:xfrm>
                    </wpg:grpSpPr>
                    <wps:wsp>
                      <wps:cNvPr id="19" name="Rectangle 19"/>
                      <wps:cNvSpPr/>
                      <wps:spPr>
                        <a:xfrm>
                          <a:off x="185066" y="-21134"/>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7657" y="406340"/>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7F320" w14:textId="77777777" w:rsidR="00DF37CF" w:rsidRDefault="00E460FA" w:rsidP="00DF37CF">
                            <w:pPr>
                              <w:tabs>
                                <w:tab w:val="center" w:pos="4680"/>
                                <w:tab w:val="right" w:pos="9360"/>
                              </w:tabs>
                            </w:pPr>
                            <w:sdt>
                              <w:sdtPr>
                                <w:rPr>
                                  <w:caps/>
                                  <w:color w:val="4472C4" w:themeColor="accent1"/>
                                  <w:sz w:val="20"/>
                                  <w:szCs w:val="20"/>
                                </w:rPr>
                                <w:alias w:val="Title"/>
                                <w:tag w:val=""/>
                                <w:id w:val="574403937"/>
                                <w:showingPlcHdr/>
                                <w:dataBinding w:prefixMappings="xmlns:ns0='http://purl.org/dc/elements/1.1/' xmlns:ns1='http://schemas.openxmlformats.org/package/2006/metadata/core-properties' " w:xpath="/ns1:coreProperties[1]/ns0:title[1]" w:storeItemID="{6C3C8BC8-F283-45AE-878A-BAB7291924A1}"/>
                                <w:text/>
                              </w:sdtPr>
                              <w:sdtEndPr/>
                              <w:sdtContent>
                                <w:r w:rsidR="00811DFF">
                                  <w:rPr>
                                    <w:caps/>
                                    <w:color w:val="4472C4" w:themeColor="accent1"/>
                                    <w:sz w:val="20"/>
                                    <w:szCs w:val="20"/>
                                  </w:rPr>
                                  <w:t xml:space="preserve">     </w:t>
                                </w:r>
                              </w:sdtContent>
                            </w:sdt>
                            <w:r w:rsidR="00A27405">
                              <w:rPr>
                                <w:caps/>
                                <w:color w:val="808080" w:themeColor="background1" w:themeShade="80"/>
                                <w:sz w:val="20"/>
                                <w:szCs w:val="20"/>
                              </w:rPr>
                              <w:t> </w:t>
                            </w:r>
                            <w:r w:rsidR="00DF37CF">
                              <w:rPr>
                                <w:rFonts w:ascii="Arial" w:hAnsi="Arial" w:cs="Arial"/>
                                <w:color w:val="263238"/>
                                <w:sz w:val="20"/>
                                <w:szCs w:val="20"/>
                              </w:rPr>
                              <w:t>TRIVIUM BI®</w:t>
                            </w:r>
                          </w:p>
                          <w:p w14:paraId="4D9A43D3" w14:textId="0236EFD7" w:rsidR="00A27405" w:rsidRDefault="00A27405" w:rsidP="00A27405">
                            <w:pPr>
                              <w:pStyle w:val="Footer"/>
                              <w:tabs>
                                <w:tab w:val="clear" w:pos="4680"/>
                                <w:tab w:val="clear" w:pos="9360"/>
                              </w:tabs>
                            </w:pPr>
                            <w:r>
                              <w:rPr>
                                <w:color w:val="263238"/>
                                <w:sz w:val="20"/>
                                <w:szCs w:val="20"/>
                              </w:rPr>
                              <w:t>®</w:t>
                            </w:r>
                            <w:r>
                              <w:rPr>
                                <w:caps/>
                                <w:color w:val="808080" w:themeColor="background1" w:themeShade="80"/>
                                <w:sz w:val="20"/>
                                <w:szCs w:val="20"/>
                              </w:rPr>
                              <w:t>| </w:t>
                            </w:r>
                            <w:sdt>
                              <w:sdtPr>
                                <w:rPr>
                                  <w:color w:val="808080" w:themeColor="background1" w:themeShade="80"/>
                                  <w:sz w:val="20"/>
                                  <w:szCs w:val="20"/>
                                </w:rPr>
                                <w:alias w:val="Subtitle"/>
                                <w:tag w:val=""/>
                                <w:id w:val="-1231682480"/>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808080" w:themeColor="background1" w:themeShade="80"/>
                                    <w:sz w:val="20"/>
                                    <w:szCs w:val="20"/>
                                  </w:rPr>
                                  <w:t xml:space="preserve">     </w:t>
                                </w:r>
                              </w:sdtContent>
                            </w:sdt>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sidRPr="00853CF8">
                              <w:rPr>
                                <w:color w:val="808080" w:themeColor="background1" w:themeShade="80"/>
                                <w:sz w:val="20"/>
                                <w:szCs w:val="20"/>
                              </w:rPr>
                              <w:fldChar w:fldCharType="begin"/>
                            </w:r>
                            <w:r w:rsidRPr="00853CF8">
                              <w:rPr>
                                <w:color w:val="808080" w:themeColor="background1" w:themeShade="80"/>
                                <w:sz w:val="20"/>
                                <w:szCs w:val="20"/>
                              </w:rPr>
                              <w:instrText xml:space="preserve"> PAGE   \* MERGEFORMAT </w:instrText>
                            </w:r>
                            <w:r w:rsidRPr="00853CF8">
                              <w:rPr>
                                <w:color w:val="808080" w:themeColor="background1" w:themeShade="80"/>
                                <w:sz w:val="20"/>
                                <w:szCs w:val="20"/>
                              </w:rPr>
                              <w:fldChar w:fldCharType="separate"/>
                            </w:r>
                            <w:r>
                              <w:rPr>
                                <w:noProof/>
                                <w:color w:val="808080" w:themeColor="background1" w:themeShade="80"/>
                                <w:sz w:val="20"/>
                                <w:szCs w:val="20"/>
                              </w:rPr>
                              <w:t>3</w:t>
                            </w:r>
                            <w:r w:rsidRPr="00853CF8">
                              <w:rPr>
                                <w:noProof/>
                                <w:color w:val="808080" w:themeColor="background1" w:themeShade="80"/>
                                <w:sz w:val="20"/>
                                <w:szCs w:val="20"/>
                              </w:rPr>
                              <w:fldChar w:fldCharType="end"/>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7BEC71" id="Group 18" o:spid="_x0000_s1026" style="position:absolute;margin-left:-43.5pt;margin-top:0;width:544.3pt;height:57.7pt;z-index:251658241;mso-position-horizontal-relative:margin;mso-position-vertical-relative:bottom-margin-area;mso-width-relative:margin;mso-height-relative:margin" coordorigin="-76,-211" coordsize="61363,6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">
              <v:rect id="Rectangle 19" o:spid="_x0000_s1027" style="position:absolute;left:1850;top:-211;width:59436;height:2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" fillcolor="white [3212]" stroked="f" strokeweight="1pt">
                <v:fill opacity="0"/>
              </v:rect>
              <v:shapetype id="_x0000_t202" coordsize="21600,21600" o:spt="202" path="m,l,21600r21600,l21600,xe">
                <v:stroke joinstyle="miter"/>
                <v:path gradientshapeok="t" o:connecttype="rect"/>
              </v:shapetype>
              <v:shape id="Text Box 20" o:spid="_x0000_s1028" type="#_x0000_t202" style="position:absolute;left:-76;top:4063;width:5943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" filled="f" stroked="f" strokeweight=".5pt">
                <v:textbox inset="0,,0">
                  <w:txbxContent>
                    <w:p w14:paraId="4BF7F320" w14:textId="77777777" w:rsidR="00DF37CF" w:rsidRDefault="00E460FA" w:rsidP="00DF37CF">
                      <w:pPr>
                        <w:tabs>
                          <w:tab w:val="center" w:pos="4680"/>
                          <w:tab w:val="right" w:pos="9360"/>
                        </w:tabs>
                      </w:pPr>
                      <w:sdt>
                        <w:sdtPr>
                          <w:rPr>
                            <w:caps/>
                            <w:color w:val="4472C4" w:themeColor="accent1"/>
                            <w:sz w:val="20"/>
                            <w:szCs w:val="20"/>
                          </w:rPr>
                          <w:alias w:val="Title"/>
                          <w:tag w:val=""/>
                          <w:id w:val="574403937"/>
                          <w:showingPlcHdr/>
                          <w:dataBinding w:prefixMappings="xmlns:ns0='http://purl.org/dc/elements/1.1/' xmlns:ns1='http://schemas.openxmlformats.org/package/2006/metadata/core-properties' " w:xpath="/ns1:coreProperties[1]/ns0:title[1]" w:storeItemID="{6C3C8BC8-F283-45AE-878A-BAB7291924A1}"/>
                          <w:text/>
                        </w:sdtPr>
                        <w:sdtEndPr/>
                        <w:sdtContent>
                          <w:r w:rsidR="00811DFF">
                            <w:rPr>
                              <w:caps/>
                              <w:color w:val="4472C4" w:themeColor="accent1"/>
                              <w:sz w:val="20"/>
                              <w:szCs w:val="20"/>
                            </w:rPr>
                            <w:t xml:space="preserve">     </w:t>
                          </w:r>
                        </w:sdtContent>
                      </w:sdt>
                      <w:r w:rsidR="00A27405">
                        <w:rPr>
                          <w:caps/>
                          <w:color w:val="808080" w:themeColor="background1" w:themeShade="80"/>
                          <w:sz w:val="20"/>
                          <w:szCs w:val="20"/>
                        </w:rPr>
                        <w:t> </w:t>
                      </w:r>
                      <w:r w:rsidR="00DF37CF">
                        <w:rPr>
                          <w:rFonts w:ascii="Arial" w:hAnsi="Arial" w:cs="Arial"/>
                          <w:color w:val="263238"/>
                          <w:sz w:val="20"/>
                          <w:szCs w:val="20"/>
                        </w:rPr>
                        <w:t>TRIVIUM BI®</w:t>
                      </w:r>
                    </w:p>
                    <w:p w14:paraId="4D9A43D3" w14:textId="0236EFD7" w:rsidR="00A27405" w:rsidRDefault="00A27405" w:rsidP="00A27405">
                      <w:pPr>
                        <w:pStyle w:val="Footer"/>
                        <w:tabs>
                          <w:tab w:val="clear" w:pos="4680"/>
                          <w:tab w:val="clear" w:pos="9360"/>
                        </w:tabs>
                      </w:pPr>
                      <w:r>
                        <w:rPr>
                          <w:color w:val="263238"/>
                          <w:sz w:val="20"/>
                          <w:szCs w:val="20"/>
                        </w:rPr>
                        <w:t>®</w:t>
                      </w:r>
                      <w:r>
                        <w:rPr>
                          <w:caps/>
                          <w:color w:val="808080" w:themeColor="background1" w:themeShade="80"/>
                          <w:sz w:val="20"/>
                          <w:szCs w:val="20"/>
                        </w:rPr>
                        <w:t>| </w:t>
                      </w:r>
                      <w:sdt>
                        <w:sdtPr>
                          <w:rPr>
                            <w:color w:val="808080" w:themeColor="background1" w:themeShade="80"/>
                            <w:sz w:val="20"/>
                            <w:szCs w:val="20"/>
                          </w:rPr>
                          <w:alias w:val="Subtitle"/>
                          <w:tag w:val=""/>
                          <w:id w:val="-1231682480"/>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808080" w:themeColor="background1" w:themeShade="80"/>
                              <w:sz w:val="20"/>
                              <w:szCs w:val="20"/>
                            </w:rPr>
                            <w:t xml:space="preserve">     </w:t>
                          </w:r>
                        </w:sdtContent>
                      </w:sdt>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Pr>
                          <w:color w:val="808080" w:themeColor="background1" w:themeShade="80"/>
                          <w:sz w:val="20"/>
                          <w:szCs w:val="20"/>
                        </w:rPr>
                        <w:tab/>
                      </w:r>
                      <w:r w:rsidRPr="00853CF8">
                        <w:rPr>
                          <w:color w:val="808080" w:themeColor="background1" w:themeShade="80"/>
                          <w:sz w:val="20"/>
                          <w:szCs w:val="20"/>
                        </w:rPr>
                        <w:fldChar w:fldCharType="begin"/>
                      </w:r>
                      <w:r w:rsidRPr="00853CF8">
                        <w:rPr>
                          <w:color w:val="808080" w:themeColor="background1" w:themeShade="80"/>
                          <w:sz w:val="20"/>
                          <w:szCs w:val="20"/>
                        </w:rPr>
                        <w:instrText xml:space="preserve"> PAGE   \* MERGEFORMAT </w:instrText>
                      </w:r>
                      <w:r w:rsidRPr="00853CF8">
                        <w:rPr>
                          <w:color w:val="808080" w:themeColor="background1" w:themeShade="80"/>
                          <w:sz w:val="20"/>
                          <w:szCs w:val="20"/>
                        </w:rPr>
                        <w:fldChar w:fldCharType="separate"/>
                      </w:r>
                      <w:r>
                        <w:rPr>
                          <w:noProof/>
                          <w:color w:val="808080" w:themeColor="background1" w:themeShade="80"/>
                          <w:sz w:val="20"/>
                          <w:szCs w:val="20"/>
                        </w:rPr>
                        <w:t>3</w:t>
                      </w:r>
                      <w:r w:rsidRPr="00853CF8">
                        <w:rPr>
                          <w:noProof/>
                          <w:color w:val="808080" w:themeColor="background1" w:themeShade="80"/>
                          <w:sz w:val="20"/>
                          <w:szCs w:val="20"/>
                        </w:rPr>
                        <w:fldChar w:fldCharType="end"/>
                      </w:r>
                    </w:p>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E3030" w14:textId="77777777" w:rsidR="00E460FA" w:rsidRDefault="00E460FA" w:rsidP="002F559A">
      <w:pPr>
        <w:spacing w:after="0" w:line="240" w:lineRule="auto"/>
      </w:pPr>
      <w:r>
        <w:separator/>
      </w:r>
    </w:p>
  </w:footnote>
  <w:footnote w:type="continuationSeparator" w:id="0">
    <w:p w14:paraId="215E1B19" w14:textId="77777777" w:rsidR="00E460FA" w:rsidRDefault="00E460FA" w:rsidP="002F559A">
      <w:pPr>
        <w:spacing w:after="0" w:line="240" w:lineRule="auto"/>
      </w:pPr>
      <w:r>
        <w:continuationSeparator/>
      </w:r>
    </w:p>
  </w:footnote>
  <w:footnote w:type="continuationNotice" w:id="1">
    <w:p w14:paraId="37632860" w14:textId="77777777" w:rsidR="00E460FA" w:rsidRDefault="00E460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0903" w14:textId="0E9A5FEE" w:rsidR="002F559A" w:rsidRDefault="002F559A">
    <w:pPr>
      <w:pStyle w:val="Header"/>
    </w:pPr>
    <w:r>
      <w:rPr>
        <w:noProof/>
      </w:rPr>
      <w:drawing>
        <wp:anchor distT="0" distB="0" distL="114300" distR="114300" simplePos="0" relativeHeight="251658240" behindDoc="0" locked="0" layoutInCell="1" allowOverlap="1" wp14:anchorId="3B39382B" wp14:editId="385F2BB2">
          <wp:simplePos x="0" y="0"/>
          <wp:positionH relativeFrom="column">
            <wp:posOffset>4252595</wp:posOffset>
          </wp:positionH>
          <wp:positionV relativeFrom="paragraph">
            <wp:posOffset>-47625</wp:posOffset>
          </wp:positionV>
          <wp:extent cx="1513840" cy="285115"/>
          <wp:effectExtent l="0" t="0" r="0" b="635"/>
          <wp:wrapThrough wrapText="bothSides">
            <wp:wrapPolygon edited="0">
              <wp:start x="0" y="0"/>
              <wp:lineTo x="0" y="20205"/>
              <wp:lineTo x="21201" y="20205"/>
              <wp:lineTo x="2120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513840" cy="2851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53B"/>
    <w:multiLevelType w:val="hybridMultilevel"/>
    <w:tmpl w:val="E720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C6141"/>
    <w:multiLevelType w:val="hybridMultilevel"/>
    <w:tmpl w:val="91F4CA18"/>
    <w:lvl w:ilvl="0" w:tplc="73A02BAE">
      <w:start w:val="1"/>
      <w:numFmt w:val="bullet"/>
      <w:lvlText w:val=""/>
      <w:lvlJc w:val="left"/>
      <w:pPr>
        <w:ind w:left="720" w:hanging="360"/>
      </w:pPr>
      <w:rPr>
        <w:rFonts w:ascii="Symbol" w:hAnsi="Symbol" w:hint="default"/>
      </w:rPr>
    </w:lvl>
    <w:lvl w:ilvl="1" w:tplc="3A8A50CC">
      <w:start w:val="1"/>
      <w:numFmt w:val="bullet"/>
      <w:lvlText w:val="o"/>
      <w:lvlJc w:val="left"/>
      <w:pPr>
        <w:ind w:left="1440" w:hanging="360"/>
      </w:pPr>
      <w:rPr>
        <w:rFonts w:ascii="Courier New" w:hAnsi="Courier New" w:hint="default"/>
      </w:rPr>
    </w:lvl>
    <w:lvl w:ilvl="2" w:tplc="19682694">
      <w:start w:val="1"/>
      <w:numFmt w:val="bullet"/>
      <w:lvlText w:val=""/>
      <w:lvlJc w:val="left"/>
      <w:pPr>
        <w:ind w:left="2160" w:hanging="360"/>
      </w:pPr>
      <w:rPr>
        <w:rFonts w:ascii="Wingdings" w:hAnsi="Wingdings" w:hint="default"/>
      </w:rPr>
    </w:lvl>
    <w:lvl w:ilvl="3" w:tplc="6A9097D6">
      <w:start w:val="1"/>
      <w:numFmt w:val="bullet"/>
      <w:lvlText w:val=""/>
      <w:lvlJc w:val="left"/>
      <w:pPr>
        <w:ind w:left="2880" w:hanging="360"/>
      </w:pPr>
      <w:rPr>
        <w:rFonts w:ascii="Symbol" w:hAnsi="Symbol" w:hint="default"/>
      </w:rPr>
    </w:lvl>
    <w:lvl w:ilvl="4" w:tplc="8236BE16">
      <w:start w:val="1"/>
      <w:numFmt w:val="bullet"/>
      <w:lvlText w:val="o"/>
      <w:lvlJc w:val="left"/>
      <w:pPr>
        <w:ind w:left="3600" w:hanging="360"/>
      </w:pPr>
      <w:rPr>
        <w:rFonts w:ascii="Courier New" w:hAnsi="Courier New" w:hint="default"/>
      </w:rPr>
    </w:lvl>
    <w:lvl w:ilvl="5" w:tplc="C4B253FE">
      <w:start w:val="1"/>
      <w:numFmt w:val="bullet"/>
      <w:lvlText w:val=""/>
      <w:lvlJc w:val="left"/>
      <w:pPr>
        <w:ind w:left="4320" w:hanging="360"/>
      </w:pPr>
      <w:rPr>
        <w:rFonts w:ascii="Wingdings" w:hAnsi="Wingdings" w:hint="default"/>
      </w:rPr>
    </w:lvl>
    <w:lvl w:ilvl="6" w:tplc="BF0E30C6">
      <w:start w:val="1"/>
      <w:numFmt w:val="bullet"/>
      <w:lvlText w:val=""/>
      <w:lvlJc w:val="left"/>
      <w:pPr>
        <w:ind w:left="5040" w:hanging="360"/>
      </w:pPr>
      <w:rPr>
        <w:rFonts w:ascii="Symbol" w:hAnsi="Symbol" w:hint="default"/>
      </w:rPr>
    </w:lvl>
    <w:lvl w:ilvl="7" w:tplc="80C43C62">
      <w:start w:val="1"/>
      <w:numFmt w:val="bullet"/>
      <w:lvlText w:val="o"/>
      <w:lvlJc w:val="left"/>
      <w:pPr>
        <w:ind w:left="5760" w:hanging="360"/>
      </w:pPr>
      <w:rPr>
        <w:rFonts w:ascii="Courier New" w:hAnsi="Courier New" w:hint="default"/>
      </w:rPr>
    </w:lvl>
    <w:lvl w:ilvl="8" w:tplc="E7C4CA90">
      <w:start w:val="1"/>
      <w:numFmt w:val="bullet"/>
      <w:lvlText w:val=""/>
      <w:lvlJc w:val="left"/>
      <w:pPr>
        <w:ind w:left="6480" w:hanging="360"/>
      </w:pPr>
      <w:rPr>
        <w:rFonts w:ascii="Wingdings" w:hAnsi="Wingdings" w:hint="default"/>
      </w:rPr>
    </w:lvl>
  </w:abstractNum>
  <w:abstractNum w:abstractNumId="2" w15:restartNumberingAfterBreak="0">
    <w:nsid w:val="36E7715A"/>
    <w:multiLevelType w:val="hybridMultilevel"/>
    <w:tmpl w:val="CEF29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4D6A8D"/>
    <w:multiLevelType w:val="hybridMultilevel"/>
    <w:tmpl w:val="C6DC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B948F6"/>
    <w:multiLevelType w:val="hybridMultilevel"/>
    <w:tmpl w:val="86D64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DB"/>
    <w:rsid w:val="00013A87"/>
    <w:rsid w:val="00050F52"/>
    <w:rsid w:val="00066561"/>
    <w:rsid w:val="000D1E0E"/>
    <w:rsid w:val="000D45DD"/>
    <w:rsid w:val="000D4C6C"/>
    <w:rsid w:val="000E2DA4"/>
    <w:rsid w:val="000E7623"/>
    <w:rsid w:val="00102317"/>
    <w:rsid w:val="00131E3A"/>
    <w:rsid w:val="001427BF"/>
    <w:rsid w:val="00144A57"/>
    <w:rsid w:val="00157534"/>
    <w:rsid w:val="00163B30"/>
    <w:rsid w:val="001A65DA"/>
    <w:rsid w:val="001B7B97"/>
    <w:rsid w:val="001E5CB6"/>
    <w:rsid w:val="001E7C7F"/>
    <w:rsid w:val="001F788C"/>
    <w:rsid w:val="002B035E"/>
    <w:rsid w:val="002C002E"/>
    <w:rsid w:val="002F559A"/>
    <w:rsid w:val="0031072C"/>
    <w:rsid w:val="003168A6"/>
    <w:rsid w:val="00337DF6"/>
    <w:rsid w:val="00340182"/>
    <w:rsid w:val="003426F6"/>
    <w:rsid w:val="00351A35"/>
    <w:rsid w:val="003D557C"/>
    <w:rsid w:val="00417513"/>
    <w:rsid w:val="00435215"/>
    <w:rsid w:val="004446D2"/>
    <w:rsid w:val="00454C81"/>
    <w:rsid w:val="00460BFA"/>
    <w:rsid w:val="00465DB0"/>
    <w:rsid w:val="00473760"/>
    <w:rsid w:val="004740F4"/>
    <w:rsid w:val="00475A0F"/>
    <w:rsid w:val="00476593"/>
    <w:rsid w:val="00482057"/>
    <w:rsid w:val="004A0E58"/>
    <w:rsid w:val="00552B27"/>
    <w:rsid w:val="00553DDA"/>
    <w:rsid w:val="00576CE5"/>
    <w:rsid w:val="0059401A"/>
    <w:rsid w:val="005965D7"/>
    <w:rsid w:val="005C0D0E"/>
    <w:rsid w:val="005D1810"/>
    <w:rsid w:val="005E15A7"/>
    <w:rsid w:val="005E47F2"/>
    <w:rsid w:val="005F29D7"/>
    <w:rsid w:val="005F79CD"/>
    <w:rsid w:val="00647894"/>
    <w:rsid w:val="0065043F"/>
    <w:rsid w:val="00651DE8"/>
    <w:rsid w:val="00667995"/>
    <w:rsid w:val="006719DB"/>
    <w:rsid w:val="006A1AB1"/>
    <w:rsid w:val="006B1F45"/>
    <w:rsid w:val="006B2B47"/>
    <w:rsid w:val="006B783E"/>
    <w:rsid w:val="006C1654"/>
    <w:rsid w:val="006C174C"/>
    <w:rsid w:val="006C7CDB"/>
    <w:rsid w:val="006E1491"/>
    <w:rsid w:val="00735EF5"/>
    <w:rsid w:val="0074183D"/>
    <w:rsid w:val="00743D92"/>
    <w:rsid w:val="007949C1"/>
    <w:rsid w:val="007B6B09"/>
    <w:rsid w:val="007D09AB"/>
    <w:rsid w:val="00802FDE"/>
    <w:rsid w:val="00811DFF"/>
    <w:rsid w:val="00815798"/>
    <w:rsid w:val="00836771"/>
    <w:rsid w:val="008D7C53"/>
    <w:rsid w:val="008F1B3F"/>
    <w:rsid w:val="0094009F"/>
    <w:rsid w:val="00943EBE"/>
    <w:rsid w:val="00963755"/>
    <w:rsid w:val="00964541"/>
    <w:rsid w:val="009747E0"/>
    <w:rsid w:val="00980500"/>
    <w:rsid w:val="00982767"/>
    <w:rsid w:val="009A1A40"/>
    <w:rsid w:val="009A379B"/>
    <w:rsid w:val="009D5CB9"/>
    <w:rsid w:val="009E47E1"/>
    <w:rsid w:val="009F59BC"/>
    <w:rsid w:val="00A122A2"/>
    <w:rsid w:val="00A14CE9"/>
    <w:rsid w:val="00A20BF3"/>
    <w:rsid w:val="00A27405"/>
    <w:rsid w:val="00A31CFE"/>
    <w:rsid w:val="00A33F4B"/>
    <w:rsid w:val="00A35D7B"/>
    <w:rsid w:val="00A54C8F"/>
    <w:rsid w:val="00A92E2D"/>
    <w:rsid w:val="00AC3383"/>
    <w:rsid w:val="00AF0F4B"/>
    <w:rsid w:val="00B2067F"/>
    <w:rsid w:val="00B231A7"/>
    <w:rsid w:val="00B93167"/>
    <w:rsid w:val="00BB5B8C"/>
    <w:rsid w:val="00BE57BA"/>
    <w:rsid w:val="00C374C2"/>
    <w:rsid w:val="00C45618"/>
    <w:rsid w:val="00C457DC"/>
    <w:rsid w:val="00CA440D"/>
    <w:rsid w:val="00CD3A01"/>
    <w:rsid w:val="00CD77FB"/>
    <w:rsid w:val="00D14E11"/>
    <w:rsid w:val="00D444CB"/>
    <w:rsid w:val="00D62E4A"/>
    <w:rsid w:val="00D82F27"/>
    <w:rsid w:val="00D86116"/>
    <w:rsid w:val="00DF37CF"/>
    <w:rsid w:val="00DF3E8A"/>
    <w:rsid w:val="00DF4ABA"/>
    <w:rsid w:val="00E460FA"/>
    <w:rsid w:val="00E57B1B"/>
    <w:rsid w:val="00E60738"/>
    <w:rsid w:val="00EB2F0B"/>
    <w:rsid w:val="00EC0422"/>
    <w:rsid w:val="00F128B1"/>
    <w:rsid w:val="00F3239A"/>
    <w:rsid w:val="00F52529"/>
    <w:rsid w:val="00F657BF"/>
    <w:rsid w:val="00F70749"/>
    <w:rsid w:val="00F77479"/>
    <w:rsid w:val="00FA66E8"/>
    <w:rsid w:val="00FD172D"/>
    <w:rsid w:val="24F2C7B3"/>
    <w:rsid w:val="38439D42"/>
    <w:rsid w:val="4230D320"/>
    <w:rsid w:val="4582A713"/>
    <w:rsid w:val="51AC953E"/>
    <w:rsid w:val="5E328F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BB146"/>
  <w15:chartTrackingRefBased/>
  <w15:docId w15:val="{1523D381-ADD2-487F-81FF-22737DE22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46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59A"/>
  </w:style>
  <w:style w:type="paragraph" w:styleId="Footer">
    <w:name w:val="footer"/>
    <w:basedOn w:val="Normal"/>
    <w:link w:val="FooterChar"/>
    <w:uiPriority w:val="99"/>
    <w:unhideWhenUsed/>
    <w:rsid w:val="002F5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59A"/>
  </w:style>
  <w:style w:type="paragraph" w:styleId="ListParagraph">
    <w:name w:val="List Paragraph"/>
    <w:basedOn w:val="Normal"/>
    <w:uiPriority w:val="34"/>
    <w:qFormat/>
    <w:rsid w:val="00DF37CF"/>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2Char">
    <w:name w:val="Heading 2 Char"/>
    <w:basedOn w:val="DefaultParagraphFont"/>
    <w:link w:val="Heading2"/>
    <w:uiPriority w:val="9"/>
    <w:rsid w:val="004446D2"/>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25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937</Words>
  <Characters>5347</Characters>
  <Application>Microsoft Office Word</Application>
  <DocSecurity>0</DocSecurity>
  <Lines>44</Lines>
  <Paragraphs>12</Paragraphs>
  <ScaleCrop>false</ScaleCrop>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Resche Hines</dc:creator>
  <cp:keywords/>
  <dc:description/>
  <cp:lastModifiedBy>Resche Hines</cp:lastModifiedBy>
  <cp:revision>13</cp:revision>
  <dcterms:created xsi:type="dcterms:W3CDTF">2021-12-10T17:57:00Z</dcterms:created>
  <dcterms:modified xsi:type="dcterms:W3CDTF">2021-12-20T18:18:00Z</dcterms:modified>
</cp:coreProperties>
</file>