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Times New Roman" w:hAnsi="Times New Roman"/>
          <w:b/>
          <w:sz w:val="28"/>
        </w:rPr>
        <w:t>ПРОГНОЗИРОВАНИЕ ЭНЕРГОПОТРЕБЛЕНИЯ УНИВЕРСИТЕТСКОГО КАМПУСА НА ОСНОВЕ МАШИННОГО ОБУЧЕНИЯ И ЦИФРОВОГО МОНИТОРИНГА</w:t>
      </w:r>
    </w:p>
    <w:p>
      <w:pPr>
        <w:spacing w:line="360" w:lineRule="auto" w:before="0" w:after="0"/>
        <w:ind w:firstLine="0"/>
        <w:jc w:val="right"/>
      </w:pPr>
      <w:r>
        <w:rPr>
          <w:rFonts w:ascii="Times New Roman" w:hAnsi="Times New Roman"/>
          <w:b/>
          <w:sz w:val="28"/>
        </w:rPr>
        <w:t>Иванов Иван Иванович, Петров Петр Петрович</w:t>
      </w:r>
    </w:p>
    <w:p>
      <w:pPr>
        <w:spacing w:line="360" w:lineRule="auto" w:before="0" w:after="0"/>
        <w:ind w:firstLine="0"/>
        <w:jc w:val="right"/>
      </w:pPr>
      <w:r>
        <w:rPr>
          <w:rFonts w:ascii="Times New Roman" w:hAnsi="Times New Roman"/>
          <w:b w:val="0"/>
          <w:sz w:val="28"/>
        </w:rPr>
        <w:t>к.т.н., доцент; аспирант</w:t>
      </w:r>
    </w:p>
    <w:p>
      <w:pPr>
        <w:spacing w:line="360" w:lineRule="auto" w:before="0" w:after="0"/>
        <w:ind w:firstLine="0"/>
        <w:jc w:val="right"/>
      </w:pPr>
      <w:r>
        <w:rPr>
          <w:rFonts w:ascii="Times New Roman" w:hAnsi="Times New Roman"/>
          <w:b w:val="0"/>
          <w:sz w:val="28"/>
        </w:rPr>
        <w:t>ФГБОУ ВО «Уральский федеральный университет имени первого Президента России Б.Н. Ельцина»</w:t>
      </w:r>
    </w:p>
    <w:p>
      <w:pPr>
        <w:spacing w:line="360" w:lineRule="auto" w:before="0" w:after="0"/>
        <w:ind w:firstLine="0"/>
        <w:jc w:val="both"/>
      </w:pPr>
      <w:r>
        <w:rPr>
          <w:rFonts w:ascii="Times New Roman" w:hAnsi="Times New Roman"/>
          <w:b w:val="0"/>
          <w:sz w:val="28"/>
        </w:rPr>
      </w:r>
      <w:r>
        <w:rPr>
          <w:rFonts w:ascii="Times New Roman" w:hAnsi="Times New Roman"/>
          <w:b/>
          <w:sz w:val="28"/>
        </w:rPr>
        <w:t xml:space="preserve">Аннотация: </w:t>
      </w:r>
      <w:r>
        <w:rPr>
          <w:rFonts w:ascii="Times New Roman" w:hAnsi="Times New Roman"/>
          <w:b w:val="0"/>
          <w:sz w:val="28"/>
        </w:rPr>
        <w:t>В статье рассматривается задача краткосрочного и среднесрочного прогнозирования энергопотребления университетского кампуса в условиях сезонных колебаний, изменяющейся учебной нагрузки и неоднородного профиля зданий. Предложен подход, объединяющий данные интеллектуальных счетчиков, метеопараметры и календарные признаки. Показано, что использование ансамблевых моделей и регулярной калибровки признакового пространства повышает точность прогноза и позволяет снижать пиковые нагрузки. Полученные результаты могут быть использованы при планировании энергозакупок и управлении устойчивым развитием образовательной инфраструктуры.</w:t>
      </w:r>
    </w:p>
    <w:p>
      <w:pPr>
        <w:spacing w:line="360" w:lineRule="auto" w:before="0" w:after="0"/>
        <w:ind w:firstLine="0"/>
        <w:jc w:val="both"/>
      </w:pPr>
      <w:r>
        <w:rPr>
          <w:rFonts w:ascii="Times New Roman" w:hAnsi="Times New Roman"/>
          <w:b w:val="0"/>
          <w:sz w:val="28"/>
        </w:rPr>
      </w:r>
      <w:r>
        <w:rPr>
          <w:rFonts w:ascii="Times New Roman" w:hAnsi="Times New Roman"/>
          <w:b/>
          <w:sz w:val="28"/>
        </w:rPr>
        <w:t xml:space="preserve">Ключевые слова: </w:t>
      </w:r>
      <w:r>
        <w:rPr>
          <w:rFonts w:ascii="Times New Roman" w:hAnsi="Times New Roman"/>
          <w:b w:val="0"/>
          <w:sz w:val="28"/>
        </w:rPr>
        <w:t>энергопотребление, прогнозирование нагрузки, университетский кампус, машинное обучение, интеллектуальные счетчики, цифровой мониторинг, устойчивое развитие</w:t>
      </w:r>
    </w:p>
    <w:p>
      <w:pPr>
        <w:spacing w:line="360" w:lineRule="auto" w:before="0" w:after="0"/>
        <w:ind w:firstLine="0"/>
        <w:jc w:val="center"/>
      </w:pPr>
      <w:r>
        <w:rPr>
          <w:rFonts w:ascii="Times New Roman" w:hAnsi="Times New Roman"/>
          <w:b/>
          <w:sz w:val="28"/>
        </w:rPr>
        <w:t>FORECASTING UNIVERSITY CAMPUS ENERGY CONSUMPTION USING MACHINE LEARNING AND DIGITAL MONITORING</w:t>
      </w:r>
    </w:p>
    <w:p>
      <w:pPr>
        <w:spacing w:line="360" w:lineRule="auto" w:before="0" w:after="0"/>
        <w:ind w:firstLine="0"/>
        <w:jc w:val="right"/>
      </w:pPr>
      <w:r>
        <w:rPr>
          <w:rFonts w:ascii="Times New Roman" w:hAnsi="Times New Roman"/>
          <w:b w:val="0"/>
          <w:sz w:val="28"/>
        </w:rPr>
        <w:t>Ivanov Ivan Ivanovich, Petrov Petr Petrovich</w:t>
      </w:r>
    </w:p>
    <w:p>
      <w:pPr>
        <w:spacing w:line="360" w:lineRule="auto" w:before="0" w:after="0"/>
        <w:ind w:firstLine="0"/>
        <w:jc w:val="both"/>
      </w:pPr>
      <w:r>
        <w:rPr>
          <w:rFonts w:ascii="Times New Roman" w:hAnsi="Times New Roman"/>
          <w:b w:val="0"/>
          <w:sz w:val="28"/>
        </w:rPr>
      </w:r>
      <w:r>
        <w:rPr>
          <w:rFonts w:ascii="Times New Roman" w:hAnsi="Times New Roman"/>
          <w:b/>
          <w:sz w:val="28"/>
        </w:rPr>
        <w:t xml:space="preserve">Abstract: </w:t>
      </w:r>
      <w:r>
        <w:rPr>
          <w:rFonts w:ascii="Times New Roman" w:hAnsi="Times New Roman"/>
          <w:b w:val="0"/>
          <w:sz w:val="28"/>
        </w:rPr>
        <w:t>The paper examines short- and medium-term forecasting of university campus energy consumption under seasonal variability, changing academic schedules, and heterogeneous building profiles. The proposed approach integrates smart meter data, weather variables, and calendar-based features. The study demonstrates that ensemble models combined with periodic feature recalibration improve forecast accuracy and support peak-load reduction. The results can be applied to energy procurement planning and sustainability management of educational infrastructure.</w:t>
      </w:r>
    </w:p>
    <w:p>
      <w:pPr>
        <w:spacing w:line="360" w:lineRule="auto" w:before="0" w:after="0"/>
        <w:ind w:firstLine="0"/>
        <w:jc w:val="both"/>
      </w:pPr>
      <w:r>
        <w:rPr>
          <w:rFonts w:ascii="Times New Roman" w:hAnsi="Times New Roman"/>
          <w:b w:val="0"/>
          <w:sz w:val="28"/>
        </w:rPr>
      </w:r>
      <w:r>
        <w:rPr>
          <w:rFonts w:ascii="Times New Roman" w:hAnsi="Times New Roman"/>
          <w:b/>
          <w:sz w:val="28"/>
        </w:rPr>
        <w:t xml:space="preserve">Key words: </w:t>
      </w:r>
      <w:r>
        <w:rPr>
          <w:rFonts w:ascii="Times New Roman" w:hAnsi="Times New Roman"/>
          <w:b w:val="0"/>
          <w:sz w:val="28"/>
        </w:rPr>
        <w:t>energy consumption, load forecasting, university campus, machine learning, smart metering, digital monitoring, sustainable development</w:t>
      </w:r>
    </w:p>
    <w:p>
      <w:pPr>
        <w:spacing w:line="360" w:lineRule="auto" w:before="0" w:after="0"/>
        <w:ind w:firstLine="0"/>
        <w:jc w:val="left"/>
      </w:pPr>
      <w:r>
        <w:rPr>
          <w:rFonts w:ascii="Times New Roman" w:hAnsi="Times New Roman"/>
          <w:b/>
          <w:sz w:val="28"/>
        </w:rPr>
        <w:t>Введение</w:t>
      </w:r>
    </w:p>
    <w:p>
      <w:pPr>
        <w:spacing w:line="360" w:lineRule="auto" w:before="0" w:after="0"/>
        <w:ind w:firstLine="709"/>
        <w:jc w:val="both"/>
      </w:pPr>
      <w:r>
        <w:rPr>
          <w:rFonts w:ascii="Times New Roman" w:hAnsi="Times New Roman"/>
          <w:b w:val="0"/>
          <w:sz w:val="28"/>
        </w:rPr>
        <w:t>Энергетическая эффективность образовательных организаций в последние годы рассматривается не только как экономическая задача, но и как важный элемент экологической политики. Для крупных кампусов, состоящих из учебных корпусов, лабораторий, общежитий и спортивных объектов, характерны значительные колебания потребления в течение суток и недели. На динамику влияют расписание занятий, климатические условия, состояние инженерных систем и поведенческие факторы пользователей. В этой связи прогнозирование нагрузки становится ключевым инструментом для принятия управленческих решений, связанных с закупкой электроэнергии, оптимизацией режимов вентиляции и отопления, а также планированием модернизации оборудования [1, с. 25].</w:t>
      </w:r>
    </w:p>
    <w:p>
      <w:pPr>
        <w:spacing w:line="360" w:lineRule="auto" w:before="0" w:after="0"/>
        <w:ind w:firstLine="709"/>
        <w:jc w:val="both"/>
      </w:pPr>
      <w:r>
        <w:rPr>
          <w:rFonts w:ascii="Times New Roman" w:hAnsi="Times New Roman"/>
          <w:b w:val="0"/>
          <w:sz w:val="28"/>
        </w:rPr>
        <w:t>Традиционные статистические методы, применявшиеся в энергетическом менеджменте, нередко предполагают стационарность временных рядов и ограниченную изменчивость внешних факторов. Однако в условиях гибридного учебного формата, периодических ремонтных кампаний и внедрения новых цифровых сервисов структура потребления может изменяться скачкообразно. Это снижает точность линейных моделей и требует использования более гибких подходов. Модели машинного обучения, способные выявлять нелинейные зависимости и учитывать взаимодействия между признаками, показывают устойчивые преимущества при анализе сложных энергетических систем [2].</w:t>
      </w:r>
    </w:p>
    <w:p>
      <w:pPr>
        <w:spacing w:line="360" w:lineRule="auto" w:before="0" w:after="0"/>
        <w:ind w:firstLine="709"/>
        <w:jc w:val="both"/>
      </w:pPr>
      <w:r>
        <w:rPr>
          <w:rFonts w:ascii="Times New Roman" w:hAnsi="Times New Roman"/>
          <w:b w:val="0"/>
          <w:sz w:val="28"/>
        </w:rPr>
        <w:t>Цель настоящего исследования заключается в разработке и апробации методики прогнозирования энергопотребления кампуса с горизонтом от 24 часов до 30 суток. Для достижения цели были поставлены следующие задачи: сформировать репрезентативный набор данных на основе показаний интеллектуальных счетчиков; определить информативные признаки, включая температурные и календарные параметры; сравнить несколько алгоритмов регрессии; оценить практический эффект от внедрения прогнозной модели в контур оперативного управления. Научная новизна работы состоит в объединении инженерных и организационных факторов в единой модели принятия решений.</w:t>
      </w:r>
    </w:p>
    <w:p>
      <w:pPr>
        <w:spacing w:line="360" w:lineRule="auto" w:before="0" w:after="0"/>
        <w:ind w:firstLine="0"/>
        <w:jc w:val="left"/>
      </w:pPr>
      <w:r>
        <w:rPr>
          <w:rFonts w:ascii="Times New Roman" w:hAnsi="Times New Roman"/>
          <w:b/>
          <w:sz w:val="28"/>
        </w:rPr>
        <w:t>Основная часть</w:t>
      </w:r>
    </w:p>
    <w:p>
      <w:pPr>
        <w:spacing w:line="360" w:lineRule="auto" w:before="0" w:after="0"/>
        <w:ind w:firstLine="0"/>
        <w:jc w:val="left"/>
      </w:pPr>
      <w:r>
        <w:rPr>
          <w:rFonts w:ascii="Times New Roman" w:hAnsi="Times New Roman"/>
          <w:b/>
          <w:sz w:val="28"/>
        </w:rPr>
        <w:t>1. Материалы и методы исследования</w:t>
      </w:r>
    </w:p>
    <w:p>
      <w:pPr>
        <w:spacing w:line="360" w:lineRule="auto" w:before="0" w:after="0"/>
        <w:ind w:firstLine="709"/>
        <w:jc w:val="both"/>
      </w:pPr>
      <w:r>
        <w:rPr>
          <w:rFonts w:ascii="Times New Roman" w:hAnsi="Times New Roman"/>
          <w:b w:val="0"/>
          <w:sz w:val="28"/>
        </w:rPr>
        <w:t>Эмпирической базой исследования послужили данные энергомониторинга за период с января 2023 г. по декабрь 2025 г., собранные с 42 узлов учета, распределенных по 17 зданиям кампуса. Частота регистрации составляла 15 минут, что позволило получить массив наблюдений более 3,5 млн записей. Дополнительно использовались погодные ряды (температура наружного воздуха, влажность, скорость ветра), данные академического календаря, расписание массовых мероприятий и индикаторы заполняемости зданий. На этапе предобработки были удалены аномалии, вызванные аварийными отключениями, после чего применена процедура интерполяции кратких пропусков и агрегация до часового шага.</w:t>
      </w:r>
    </w:p>
    <w:p>
      <w:pPr>
        <w:spacing w:line="360" w:lineRule="auto" w:before="0" w:after="0"/>
        <w:ind w:firstLine="709"/>
        <w:jc w:val="both"/>
      </w:pPr>
      <w:r>
        <w:rPr>
          <w:rFonts w:ascii="Times New Roman" w:hAnsi="Times New Roman"/>
          <w:b w:val="0"/>
          <w:sz w:val="28"/>
        </w:rPr>
        <w:t>Формирование признакового пространства включало построение лаговых переменных (1, 3, 6, 24 часа), скользящих средних, индексов сезонности, бинарных индикаторов выходных и экзаменационных периодов. Для снижения мультиколлинеарности использовалась оценка VIF и ранговая корреляция Спирмена. В качестве базовых моделей рассматривались множественная линейная регрессия, случайный лес, градиентный бустинг и CatBoost. Обучение проводилось на скользящем временном окне с валидацией по схеме TimeSeriesSplit. Критериями качества выступали MAE, RMSE и MAPE, что соответствует распространенной практике энергетической аналитики [3].</w:t>
      </w:r>
    </w:p>
    <w:p>
      <w:pPr>
        <w:spacing w:line="360" w:lineRule="auto" w:before="0" w:after="0"/>
        <w:ind w:firstLine="709"/>
        <w:jc w:val="both"/>
      </w:pPr>
      <w:r>
        <w:rPr>
          <w:rFonts w:ascii="Times New Roman" w:hAnsi="Times New Roman"/>
          <w:b w:val="0"/>
          <w:sz w:val="28"/>
        </w:rPr>
        <w:t>Для обеспечения интерпретируемости применялся SHAP-анализ, позволивший выявить вклад ключевых признаков в итоговый прогноз. Наиболее значимыми оказались температура наружного воздуха, тип дня в академическом календаре и уровень потребления в предыдущие часы. При этом влияние отдельных факторов существенно различалось для учебных корпусов и общежитий, что подтвердило необходимость сегментации объектов. Методологически это согласуется с подходом, согласно которому энергетическая система кампуса рассматривается как совокупность функционально разнородных подсистем, требующих разных стратегий управления [4, с. 84].</w:t>
      </w:r>
    </w:p>
    <w:p>
      <w:pPr>
        <w:spacing w:line="360" w:lineRule="auto" w:before="0" w:after="0"/>
        <w:ind w:firstLine="0"/>
        <w:jc w:val="right"/>
      </w:pPr>
      <w:r>
        <w:rPr>
          <w:rFonts w:ascii="Times New Roman" w:hAnsi="Times New Roman"/>
          <w:b w:val="0"/>
          <w:sz w:val="28"/>
        </w:rPr>
        <w:t>Таблица 1</w:t>
      </w:r>
    </w:p>
    <w:p>
      <w:pPr>
        <w:spacing w:line="360" w:lineRule="auto" w:before="0" w:after="0"/>
        <w:ind w:firstLine="0"/>
        <w:jc w:val="center"/>
      </w:pPr>
      <w:r>
        <w:rPr>
          <w:rFonts w:ascii="Times New Roman" w:hAnsi="Times New Roman"/>
          <w:b/>
          <w:sz w:val="28"/>
        </w:rPr>
        <w:t>Сравнение качества моделей прогнозирования энергопотребления</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spacing w:line="240" w:lineRule="auto" w:before="0" w:after="0"/>
              <w:jc w:val="center"/>
            </w:pPr>
            <w:r>
              <w:rPr>
                <w:rFonts w:ascii="Times New Roman" w:hAnsi="Times New Roman"/>
                <w:b w:val="0"/>
                <w:sz w:val="22"/>
              </w:rPr>
              <w:t>Модель</w:t>
            </w:r>
          </w:p>
        </w:tc>
        <w:tc>
          <w:tcPr>
            <w:tcW w:type="dxa" w:w="2493"/>
          </w:tcPr>
          <w:p>
            <w:pPr>
              <w:spacing w:line="240" w:lineRule="auto" w:before="0" w:after="0"/>
              <w:jc w:val="center"/>
            </w:pPr>
            <w:r>
              <w:rPr>
                <w:rFonts w:ascii="Times New Roman" w:hAnsi="Times New Roman"/>
                <w:b w:val="0"/>
                <w:sz w:val="22"/>
              </w:rPr>
              <w:t>MAE, кВт·ч</w:t>
            </w:r>
          </w:p>
        </w:tc>
        <w:tc>
          <w:tcPr>
            <w:tcW w:type="dxa" w:w="2493"/>
          </w:tcPr>
          <w:p>
            <w:pPr>
              <w:spacing w:line="240" w:lineRule="auto" w:before="0" w:after="0"/>
              <w:jc w:val="center"/>
            </w:pPr>
            <w:r>
              <w:rPr>
                <w:rFonts w:ascii="Times New Roman" w:hAnsi="Times New Roman"/>
                <w:b w:val="0"/>
                <w:sz w:val="22"/>
              </w:rPr>
              <w:t>RMSE, кВт·ч</w:t>
            </w:r>
          </w:p>
        </w:tc>
        <w:tc>
          <w:tcPr>
            <w:tcW w:type="dxa" w:w="2493"/>
          </w:tcPr>
          <w:p>
            <w:pPr>
              <w:spacing w:line="240" w:lineRule="auto" w:before="0" w:after="0"/>
              <w:jc w:val="center"/>
            </w:pPr>
            <w:r>
              <w:rPr>
                <w:rFonts w:ascii="Times New Roman" w:hAnsi="Times New Roman"/>
                <w:b w:val="0"/>
                <w:sz w:val="22"/>
              </w:rPr>
              <w:t>MAPE, %</w:t>
            </w:r>
          </w:p>
        </w:tc>
      </w:tr>
      <w:tr>
        <w:tc>
          <w:tcPr>
            <w:tcW w:type="dxa" w:w="2493"/>
          </w:tcPr>
          <w:p>
            <w:pPr>
              <w:spacing w:line="240" w:lineRule="auto" w:before="0" w:after="0"/>
              <w:jc w:val="center"/>
            </w:pPr>
            <w:r>
              <w:rPr>
                <w:rFonts w:ascii="Times New Roman" w:hAnsi="Times New Roman"/>
                <w:b w:val="0"/>
                <w:sz w:val="22"/>
              </w:rPr>
              <w:t>Линейная регрессия</w:t>
            </w:r>
          </w:p>
        </w:tc>
        <w:tc>
          <w:tcPr>
            <w:tcW w:type="dxa" w:w="2493"/>
          </w:tcPr>
          <w:p>
            <w:pPr>
              <w:spacing w:line="240" w:lineRule="auto" w:before="0" w:after="0"/>
              <w:jc w:val="center"/>
            </w:pPr>
            <w:r>
              <w:rPr>
                <w:rFonts w:ascii="Times New Roman" w:hAnsi="Times New Roman"/>
                <w:b w:val="0"/>
                <w:sz w:val="22"/>
              </w:rPr>
              <w:t>186,4</w:t>
            </w:r>
          </w:p>
        </w:tc>
        <w:tc>
          <w:tcPr>
            <w:tcW w:type="dxa" w:w="2493"/>
          </w:tcPr>
          <w:p>
            <w:pPr>
              <w:spacing w:line="240" w:lineRule="auto" w:before="0" w:after="0"/>
              <w:jc w:val="center"/>
            </w:pPr>
            <w:r>
              <w:rPr>
                <w:rFonts w:ascii="Times New Roman" w:hAnsi="Times New Roman"/>
                <w:b w:val="0"/>
                <w:sz w:val="22"/>
              </w:rPr>
              <w:t>251,9</w:t>
            </w:r>
          </w:p>
        </w:tc>
        <w:tc>
          <w:tcPr>
            <w:tcW w:type="dxa" w:w="2493"/>
          </w:tcPr>
          <w:p>
            <w:pPr>
              <w:spacing w:line="240" w:lineRule="auto" w:before="0" w:after="0"/>
              <w:jc w:val="center"/>
            </w:pPr>
            <w:r>
              <w:rPr>
                <w:rFonts w:ascii="Times New Roman" w:hAnsi="Times New Roman"/>
                <w:b w:val="0"/>
                <w:sz w:val="22"/>
              </w:rPr>
              <w:t>9,8</w:t>
            </w:r>
          </w:p>
        </w:tc>
      </w:tr>
      <w:tr>
        <w:tc>
          <w:tcPr>
            <w:tcW w:type="dxa" w:w="2493"/>
          </w:tcPr>
          <w:p>
            <w:pPr>
              <w:spacing w:line="240" w:lineRule="auto" w:before="0" w:after="0"/>
              <w:jc w:val="center"/>
            </w:pPr>
            <w:r>
              <w:rPr>
                <w:rFonts w:ascii="Times New Roman" w:hAnsi="Times New Roman"/>
                <w:b w:val="0"/>
                <w:sz w:val="22"/>
              </w:rPr>
              <w:t>Случайный лес</w:t>
            </w:r>
          </w:p>
        </w:tc>
        <w:tc>
          <w:tcPr>
            <w:tcW w:type="dxa" w:w="2493"/>
          </w:tcPr>
          <w:p>
            <w:pPr>
              <w:spacing w:line="240" w:lineRule="auto" w:before="0" w:after="0"/>
              <w:jc w:val="center"/>
            </w:pPr>
            <w:r>
              <w:rPr>
                <w:rFonts w:ascii="Times New Roman" w:hAnsi="Times New Roman"/>
                <w:b w:val="0"/>
                <w:sz w:val="22"/>
              </w:rPr>
              <w:t>141,2</w:t>
            </w:r>
          </w:p>
        </w:tc>
        <w:tc>
          <w:tcPr>
            <w:tcW w:type="dxa" w:w="2493"/>
          </w:tcPr>
          <w:p>
            <w:pPr>
              <w:spacing w:line="240" w:lineRule="auto" w:before="0" w:after="0"/>
              <w:jc w:val="center"/>
            </w:pPr>
            <w:r>
              <w:rPr>
                <w:rFonts w:ascii="Times New Roman" w:hAnsi="Times New Roman"/>
                <w:b w:val="0"/>
                <w:sz w:val="22"/>
              </w:rPr>
              <w:t>196,7</w:t>
            </w:r>
          </w:p>
        </w:tc>
        <w:tc>
          <w:tcPr>
            <w:tcW w:type="dxa" w:w="2493"/>
          </w:tcPr>
          <w:p>
            <w:pPr>
              <w:spacing w:line="240" w:lineRule="auto" w:before="0" w:after="0"/>
              <w:jc w:val="center"/>
            </w:pPr>
            <w:r>
              <w:rPr>
                <w:rFonts w:ascii="Times New Roman" w:hAnsi="Times New Roman"/>
                <w:b w:val="0"/>
                <w:sz w:val="22"/>
              </w:rPr>
              <w:t>7,3</w:t>
            </w:r>
          </w:p>
        </w:tc>
      </w:tr>
      <w:tr>
        <w:tc>
          <w:tcPr>
            <w:tcW w:type="dxa" w:w="2493"/>
          </w:tcPr>
          <w:p>
            <w:pPr>
              <w:spacing w:line="240" w:lineRule="auto" w:before="0" w:after="0"/>
              <w:jc w:val="center"/>
            </w:pPr>
            <w:r>
              <w:rPr>
                <w:rFonts w:ascii="Times New Roman" w:hAnsi="Times New Roman"/>
                <w:b w:val="0"/>
                <w:sz w:val="22"/>
              </w:rPr>
              <w:t>Градиентный бустинг</w:t>
            </w:r>
          </w:p>
        </w:tc>
        <w:tc>
          <w:tcPr>
            <w:tcW w:type="dxa" w:w="2493"/>
          </w:tcPr>
          <w:p>
            <w:pPr>
              <w:spacing w:line="240" w:lineRule="auto" w:before="0" w:after="0"/>
              <w:jc w:val="center"/>
            </w:pPr>
            <w:r>
              <w:rPr>
                <w:rFonts w:ascii="Times New Roman" w:hAnsi="Times New Roman"/>
                <w:b w:val="0"/>
                <w:sz w:val="22"/>
              </w:rPr>
              <w:t>129,5</w:t>
            </w:r>
          </w:p>
        </w:tc>
        <w:tc>
          <w:tcPr>
            <w:tcW w:type="dxa" w:w="2493"/>
          </w:tcPr>
          <w:p>
            <w:pPr>
              <w:spacing w:line="240" w:lineRule="auto" w:before="0" w:after="0"/>
              <w:jc w:val="center"/>
            </w:pPr>
            <w:r>
              <w:rPr>
                <w:rFonts w:ascii="Times New Roman" w:hAnsi="Times New Roman"/>
                <w:b w:val="0"/>
                <w:sz w:val="22"/>
              </w:rPr>
              <w:t>182,1</w:t>
            </w:r>
          </w:p>
        </w:tc>
        <w:tc>
          <w:tcPr>
            <w:tcW w:type="dxa" w:w="2493"/>
          </w:tcPr>
          <w:p>
            <w:pPr>
              <w:spacing w:line="240" w:lineRule="auto" w:before="0" w:after="0"/>
              <w:jc w:val="center"/>
            </w:pPr>
            <w:r>
              <w:rPr>
                <w:rFonts w:ascii="Times New Roman" w:hAnsi="Times New Roman"/>
                <w:b w:val="0"/>
                <w:sz w:val="22"/>
              </w:rPr>
              <w:t>6,7</w:t>
            </w:r>
          </w:p>
        </w:tc>
      </w:tr>
      <w:tr>
        <w:tc>
          <w:tcPr>
            <w:tcW w:type="dxa" w:w="2493"/>
          </w:tcPr>
          <w:p>
            <w:pPr>
              <w:spacing w:line="240" w:lineRule="auto" w:before="0" w:after="0"/>
              <w:jc w:val="center"/>
            </w:pPr>
            <w:r>
              <w:rPr>
                <w:rFonts w:ascii="Times New Roman" w:hAnsi="Times New Roman"/>
                <w:b w:val="0"/>
                <w:sz w:val="22"/>
              </w:rPr>
              <w:t>CatBoost</w:t>
            </w:r>
          </w:p>
        </w:tc>
        <w:tc>
          <w:tcPr>
            <w:tcW w:type="dxa" w:w="2493"/>
          </w:tcPr>
          <w:p>
            <w:pPr>
              <w:spacing w:line="240" w:lineRule="auto" w:before="0" w:after="0"/>
              <w:jc w:val="center"/>
            </w:pPr>
            <w:r>
              <w:rPr>
                <w:rFonts w:ascii="Times New Roman" w:hAnsi="Times New Roman"/>
                <w:b w:val="0"/>
                <w:sz w:val="22"/>
              </w:rPr>
              <w:t>122,8</w:t>
            </w:r>
          </w:p>
        </w:tc>
        <w:tc>
          <w:tcPr>
            <w:tcW w:type="dxa" w:w="2493"/>
          </w:tcPr>
          <w:p>
            <w:pPr>
              <w:spacing w:line="240" w:lineRule="auto" w:before="0" w:after="0"/>
              <w:jc w:val="center"/>
            </w:pPr>
            <w:r>
              <w:rPr>
                <w:rFonts w:ascii="Times New Roman" w:hAnsi="Times New Roman"/>
                <w:b w:val="0"/>
                <w:sz w:val="22"/>
              </w:rPr>
              <w:t>174,6</w:t>
            </w:r>
          </w:p>
        </w:tc>
        <w:tc>
          <w:tcPr>
            <w:tcW w:type="dxa" w:w="2493"/>
          </w:tcPr>
          <w:p>
            <w:pPr>
              <w:spacing w:line="240" w:lineRule="auto" w:before="0" w:after="0"/>
              <w:jc w:val="center"/>
            </w:pPr>
            <w:r>
              <w:rPr>
                <w:rFonts w:ascii="Times New Roman" w:hAnsi="Times New Roman"/>
                <w:b w:val="0"/>
                <w:sz w:val="22"/>
              </w:rPr>
              <w:t>6,1</w:t>
            </w:r>
          </w:p>
        </w:tc>
      </w:tr>
    </w:tbl>
    <w:p>
      <w:pPr>
        <w:spacing w:line="360" w:lineRule="auto" w:before="0" w:after="0"/>
        <w:ind w:firstLine="0"/>
        <w:jc w:val="left"/>
      </w:pPr>
      <w:r>
        <w:rPr>
          <w:rFonts w:ascii="Times New Roman" w:hAnsi="Times New Roman"/>
          <w:b/>
          <w:sz w:val="28"/>
        </w:rPr>
        <w:t>2. Результаты и обсуждение</w:t>
      </w:r>
    </w:p>
    <w:p>
      <w:pPr>
        <w:spacing w:line="360" w:lineRule="auto" w:before="0" w:after="0"/>
        <w:ind w:firstLine="709"/>
        <w:jc w:val="both"/>
      </w:pPr>
      <w:r>
        <w:rPr>
          <w:rFonts w:ascii="Times New Roman" w:hAnsi="Times New Roman"/>
          <w:b w:val="0"/>
          <w:sz w:val="28"/>
        </w:rPr>
        <w:t>Результаты моделирования представлены в табл. 1 и демонстрируют преимущество ансамблевых алгоритмов над линейной регрессией по всем выбранным метрикам. Наилучшее качество показала модель CatBoost: снижение MAPE до 6,1 % при сохранении устойчивости на разных временных срезах. Практическая значимость такого уровня точности заключается в возможности заранее перераспределять нагрузку между корпусами и сглаживать пики потребления в утренние и вечерние часы. Дополнительно установлено, что ежемесячное дообучение модели на новых данных обеспечивает прирост точности на 0,4-0,7 п.п. по MAPE по сравнению с «статическим» вариантом.</w:t>
      </w:r>
    </w:p>
    <w:p>
      <w:pPr>
        <w:spacing w:line="360" w:lineRule="auto" w:before="0" w:after="0"/>
        <w:ind w:firstLine="709"/>
        <w:jc w:val="both"/>
      </w:pPr>
      <w:r>
        <w:rPr>
          <w:rFonts w:ascii="Times New Roman" w:hAnsi="Times New Roman"/>
          <w:b w:val="0"/>
          <w:sz w:val="28"/>
        </w:rPr>
        <w:t>Проверка модели на периодах повышенной неопределенности (начало семестра, зимние морозы, сессия) показала, что ошибка прогноза возрастает, но остается в пределах, приемлемых для оперативного управления. Так, в дни резкого похолодания вклад метеопараметров в итоговый прогноз увеличивался до 43 %, а роль календарных признаков снижалась. В дни массовых мероприятий наблюдались кратковременные выбросы потребления, частично компенсируемые включением индикаторов заполняемости. Полученные данные подтверждают, что комбинация внешних и внутренних факторов обеспечивает более надежную модель по сравнению с подходами, учитывающими только температуру или только исторический ряд.</w:t>
      </w:r>
    </w:p>
    <w:p>
      <w:pPr>
        <w:spacing w:line="360" w:lineRule="auto" w:before="0" w:after="0"/>
        <w:ind w:firstLine="709"/>
        <w:jc w:val="both"/>
      </w:pPr>
      <w:r>
        <w:rPr>
          <w:rFonts w:ascii="Times New Roman" w:hAnsi="Times New Roman"/>
          <w:b w:val="0"/>
          <w:sz w:val="28"/>
        </w:rPr>
        <w:t>Обобщенная логика предложенной системы прогнозирования и управленческой реакции представлена на рис. 1. Схема отражает последовательность этапов: сбор данных, вычисление признаков, прогноз, формирование рекомендаций и обратная связь по фактическому потреблению.</w:t>
      </w:r>
    </w:p>
    <w:p>
      <w:pPr>
        <w:spacing w:line="360" w:lineRule="auto" w:before="0" w:after="0"/>
        <w:ind w:firstLine="0"/>
        <w:jc w:val="both"/>
      </w:pPr>
      <w:r>
        <w:rPr>
          <w:rFonts w:ascii="Times New Roman" w:hAnsi="Times New Roman"/>
          <w:b w:val="0"/>
          <w:sz w:val="28"/>
        </w:rPr>
      </w:r>
    </w:p>
    <w:p>
      <w:pPr>
        <w:spacing w:line="240" w:lineRule="auto"/>
        <w:jc w:val="center"/>
      </w:pPr>
      <w:r>
        <w:drawing>
          <wp:inline xmlns:a="http://schemas.openxmlformats.org/drawingml/2006/main" xmlns:pic="http://schemas.openxmlformats.org/drawingml/2006/picture">
            <wp:extent cx="3960000" cy="3960000"/>
            <wp:docPr id="1" name="Picture 1"/>
            <wp:cNvGraphicFramePr>
              <a:graphicFrameLocks noChangeAspect="1"/>
            </wp:cNvGraphicFramePr>
            <a:graphic>
              <a:graphicData uri="http://schemas.openxmlformats.org/drawingml/2006/picture">
                <pic:pic>
                  <pic:nvPicPr>
                    <pic:cNvPr id="0" name="logo2.png"/>
                    <pic:cNvPicPr/>
                  </pic:nvPicPr>
                  <pic:blipFill>
                    <a:blip r:embed="rId9"/>
                    <a:stretch>
                      <a:fillRect/>
                    </a:stretch>
                  </pic:blipFill>
                  <pic:spPr>
                    <a:xfrm>
                      <a:off x="0" y="0"/>
                      <a:ext cx="3960000" cy="3960000"/>
                    </a:xfrm>
                    <a:prstGeom prst="rect"/>
                  </pic:spPr>
                </pic:pic>
              </a:graphicData>
            </a:graphic>
          </wp:inline>
        </w:drawing>
      </w:r>
    </w:p>
    <w:p>
      <w:pPr>
        <w:spacing w:line="240" w:lineRule="auto" w:before="0" w:after="0"/>
        <w:ind w:firstLine="0"/>
        <w:jc w:val="center"/>
      </w:pPr>
      <w:r>
        <w:rPr>
          <w:rFonts w:ascii="Times New Roman" w:hAnsi="Times New Roman"/>
          <w:b/>
          <w:sz w:val="28"/>
        </w:rPr>
        <w:t>Рис. 1. Концептуальная схема контура прогнозирования и управления энергопотреблением кампуса</w:t>
      </w:r>
    </w:p>
    <w:p>
      <w:pPr>
        <w:spacing w:line="360" w:lineRule="auto" w:before="0" w:after="0"/>
        <w:ind w:firstLine="0"/>
        <w:jc w:val="both"/>
      </w:pPr>
      <w:r>
        <w:rPr>
          <w:rFonts w:ascii="Times New Roman" w:hAnsi="Times New Roman"/>
          <w:b w:val="0"/>
          <w:sz w:val="28"/>
        </w:rPr>
      </w:r>
    </w:p>
    <w:p>
      <w:pPr>
        <w:spacing w:line="360" w:lineRule="auto" w:before="0" w:after="0"/>
        <w:ind w:firstLine="0"/>
        <w:jc w:val="left"/>
      </w:pPr>
      <w:r>
        <w:rPr>
          <w:rFonts w:ascii="Times New Roman" w:hAnsi="Times New Roman"/>
          <w:b/>
          <w:sz w:val="28"/>
        </w:rPr>
        <w:t>3. Практические рекомендации</w:t>
      </w:r>
    </w:p>
    <w:p>
      <w:pPr>
        <w:spacing w:line="360" w:lineRule="auto" w:before="0" w:after="0"/>
        <w:ind w:firstLine="709"/>
        <w:jc w:val="both"/>
      </w:pPr>
      <w:r>
        <w:rPr>
          <w:rFonts w:ascii="Times New Roman" w:hAnsi="Times New Roman"/>
          <w:b w:val="0"/>
          <w:sz w:val="28"/>
        </w:rPr>
        <w:t>На основании полученных результатов предложен набор практических мер для административно-хозяйственных подразделений университета. Во-первых, целесообразно интегрировать прогнозную модель в существующую диспетчерскую систему и формировать ежедневный план потребления по типам зданий. Во-вторых, необходимо установить регламент управленческих действий при ожидаемом превышении пороговых значений: корректировка графиков работы вентиляции, перенос энергоемких процессов и контроль нецелевого потребления в неучебные часы. В-третьих, требуется регулярная валидация модели с учетом изменений инфраструктуры, поскольку ввод новых объектов или модернизация оборудования меняют статистический профиль нагрузки.</w:t>
      </w:r>
    </w:p>
    <w:p>
      <w:pPr>
        <w:spacing w:line="360" w:lineRule="auto" w:before="0" w:after="0"/>
        <w:ind w:firstLine="709"/>
        <w:jc w:val="both"/>
      </w:pPr>
      <w:r>
        <w:rPr>
          <w:rFonts w:ascii="Times New Roman" w:hAnsi="Times New Roman"/>
          <w:b w:val="0"/>
          <w:sz w:val="28"/>
        </w:rPr>
        <w:t>Отдельного внимания заслуживает организационный аспект внедрения. Для достижения устойчивого эффекта необходимо распределить зоны ответственности между энергетической службой, IT-подразделением и административным блоком, а также обеспечить прозрачность показателей для руководства. Рекомендуется использовать панель мониторинга с тремя уровнями аналитики: оперативный контроль в реальном времени, недельные отчеты по отклонениям и стратегический анализ сезонных трендов. Экономический расчет показал, что при снижении пикового потребления на 8-10 % срок окупаемости цифрового решения составляет от 14 до 18 месяцев, что делает проект реалистичным для большинства крупных вузов.</w:t>
      </w:r>
    </w:p>
    <w:p>
      <w:pPr>
        <w:spacing w:line="360" w:lineRule="auto" w:before="0" w:after="0"/>
        <w:ind w:firstLine="709"/>
        <w:jc w:val="both"/>
      </w:pPr>
      <w:r>
        <w:rPr>
          <w:rFonts w:ascii="Times New Roman" w:hAnsi="Times New Roman"/>
          <w:b w:val="0"/>
          <w:sz w:val="28"/>
        </w:rPr>
        <w:t>Таким образом, предложенный подход демонстрирует масштабируемость и может быть адаптирован для других образовательных и административных комплексов. Перспективы дальнейших исследований связаны с учетом тарифных сценариев, включением данных о техническом состоянии оборудования и применением гибридных архитектур, сочетающих бустинговые модели с рекуррентными нейронными сетями. Дополнительным направлением является разработка механизма объяснимого автоматического управления, при котором рекомендации по режимам энергопотребления сопровождаются оценкой риска и прогнозируемого экономического эффекта. Это позволит повысить доверие к системе со стороны пользователей и ускорить институциональное внедрение цифровых практик.</w:t>
      </w:r>
    </w:p>
    <w:p>
      <w:pPr>
        <w:spacing w:line="360" w:lineRule="auto" w:before="0" w:after="0"/>
        <w:ind w:firstLine="0"/>
        <w:jc w:val="left"/>
      </w:pPr>
      <w:r>
        <w:rPr>
          <w:rFonts w:ascii="Times New Roman" w:hAnsi="Times New Roman"/>
          <w:b/>
          <w:sz w:val="28"/>
        </w:rPr>
        <w:t>Заключение</w:t>
      </w:r>
    </w:p>
    <w:p>
      <w:pPr>
        <w:spacing w:line="360" w:lineRule="auto" w:before="0" w:after="0"/>
        <w:ind w:firstLine="709"/>
        <w:jc w:val="both"/>
      </w:pPr>
      <w:r>
        <w:rPr>
          <w:rFonts w:ascii="Times New Roman" w:hAnsi="Times New Roman"/>
          <w:b w:val="0"/>
          <w:sz w:val="28"/>
        </w:rPr>
        <w:t>Выполненное исследование подтвердило, что применение методов машинного обучения в задачах управления энергопотреблением университетского кампуса обеспечивает статистически и практически значимое повышение точности прогноза. Сопоставление нескольких алгоритмов показало, что ансамблевые модели лучше адаптируются к нелинейной структуре данных и динамике внешних факторов, включая температурные колебания и особенности академического календаря. Наличие точного прогноза создает основу для проактивного управления нагрузкой и повышения энергетической устойчивости инфраструктуры.</w:t>
      </w:r>
    </w:p>
    <w:p>
      <w:pPr>
        <w:spacing w:line="360" w:lineRule="auto" w:before="0" w:after="0"/>
        <w:ind w:firstLine="709"/>
        <w:jc w:val="both"/>
      </w:pPr>
      <w:r>
        <w:rPr>
          <w:rFonts w:ascii="Times New Roman" w:hAnsi="Times New Roman"/>
          <w:b w:val="0"/>
          <w:sz w:val="28"/>
        </w:rPr>
        <w:t>Практическая ценность работы заключается в возможности тиражирования разработанной методики в образовательных организациях различного профиля. Полученные результаты могут быть использованы при формировании программ энергосбережения, подготовке обоснований для модернизации инженерных систем и построении ESG-отчетности университета. В целом интеграция аналитических моделей в контур хозяйственного управления позволяет объединить экономические, экологические и организационные эффекты в единой системе принятия решений.</w:t>
      </w:r>
    </w:p>
    <w:p>
      <w:pPr>
        <w:spacing w:line="360" w:lineRule="auto" w:before="0" w:after="0"/>
        <w:ind w:firstLine="0"/>
        <w:jc w:val="left"/>
      </w:pPr>
      <w:r>
        <w:rPr>
          <w:rFonts w:ascii="Times New Roman" w:hAnsi="Times New Roman"/>
          <w:b/>
          <w:sz w:val="28"/>
        </w:rPr>
        <w:t>Примечания</w:t>
      </w:r>
    </w:p>
    <w:p>
      <w:pPr>
        <w:spacing w:line="360" w:lineRule="auto" w:before="0" w:after="0"/>
        <w:ind w:firstLine="709"/>
        <w:jc w:val="both"/>
      </w:pPr>
      <w:r>
        <w:rPr>
          <w:rFonts w:ascii="Times New Roman" w:hAnsi="Times New Roman"/>
          <w:b w:val="0"/>
          <w:sz w:val="28"/>
        </w:rPr>
        <w:t>Исследование выполнено в рамках инициативного проекта кафедры цифровых технологий в энергетике ФГБОУ ВО «УрФУ».</w:t>
      </w:r>
    </w:p>
    <w:p>
      <w:pPr>
        <w:spacing w:line="360" w:lineRule="auto" w:before="0" w:after="0"/>
        <w:ind w:firstLine="0"/>
        <w:jc w:val="center"/>
      </w:pPr>
      <w:r>
        <w:rPr>
          <w:rFonts w:ascii="Times New Roman" w:hAnsi="Times New Roman"/>
          <w:b/>
          <w:sz w:val="28"/>
        </w:rPr>
        <w:t>Список литературы</w:t>
      </w:r>
    </w:p>
    <w:p>
      <w:pPr>
        <w:spacing w:line="360" w:lineRule="auto" w:before="0" w:after="0"/>
        <w:ind w:firstLine="0"/>
        <w:jc w:val="both"/>
      </w:pPr>
      <w:r>
        <w:rPr>
          <w:rFonts w:ascii="Times New Roman" w:hAnsi="Times New Roman"/>
          <w:b w:val="0"/>
          <w:sz w:val="28"/>
        </w:rPr>
        <w:t>1. Гительман Л.Д., Ратников Б.Е. Энергетический менеджмент: учебник. 2-е изд., перераб. и доп. Москва: ИНФРА-М, 2022. 312 с.</w:t>
      </w:r>
    </w:p>
    <w:p>
      <w:pPr>
        <w:spacing w:line="360" w:lineRule="auto" w:before="0" w:after="0"/>
        <w:ind w:firstLine="0"/>
        <w:jc w:val="both"/>
      </w:pPr>
      <w:r>
        <w:rPr>
          <w:rFonts w:ascii="Times New Roman" w:hAnsi="Times New Roman"/>
          <w:b w:val="0"/>
          <w:sz w:val="28"/>
        </w:rPr>
        <w:t>2. Sola J., Corchero C., Salom J., Sanmarti M. Multi-agent simulation for demand-side management in smart grids // Energy Conversion and Management. 2021. Vol. 243. P. 114389.</w:t>
      </w:r>
    </w:p>
    <w:p>
      <w:pPr>
        <w:spacing w:line="360" w:lineRule="auto" w:before="0" w:after="0"/>
        <w:ind w:firstLine="0"/>
        <w:jc w:val="both"/>
      </w:pPr>
      <w:r>
        <w:rPr>
          <w:rFonts w:ascii="Times New Roman" w:hAnsi="Times New Roman"/>
          <w:b w:val="0"/>
          <w:sz w:val="28"/>
        </w:rPr>
        <w:t>3. Боровиков В.П. Популярное введение в современный анализ данных и машинное обучение. Москва: ДМК Пресс, 2023. 428 с.</w:t>
      </w:r>
    </w:p>
    <w:p>
      <w:pPr>
        <w:spacing w:line="360" w:lineRule="auto" w:before="0" w:after="0"/>
        <w:ind w:firstLine="0"/>
        <w:jc w:val="both"/>
      </w:pPr>
      <w:r>
        <w:rPr>
          <w:rFonts w:ascii="Times New Roman" w:hAnsi="Times New Roman"/>
          <w:b w:val="0"/>
          <w:sz w:val="28"/>
        </w:rPr>
        <w:t>4. Капица С.П., Курдюмов С.П., Малинецкий Г.Г. Синергетика и прогнозы будущего. 5-е изд. Москва: УРСС, 2021. 288 с.</w:t>
      </w:r>
    </w:p>
    <w:p>
      <w:pPr>
        <w:spacing w:line="360" w:lineRule="auto" w:before="0" w:after="0"/>
        <w:ind w:firstLine="0"/>
        <w:jc w:val="both"/>
      </w:pPr>
      <w:r>
        <w:rPr>
          <w:rFonts w:ascii="Times New Roman" w:hAnsi="Times New Roman"/>
          <w:b w:val="0"/>
          <w:sz w:val="28"/>
        </w:rPr>
        <w:t>5. Министерство науки и высшего образования РФ. Методические рекомендации по повышению энергетической эффективности зданий образовательных организаций [Электронный ресурс]. URL: https://minobrnauki.gov.ru (дата обращения: 10.02.2026).</w:t>
      </w:r>
    </w:p>
    <w:p>
      <w:pPr>
        <w:spacing w:line="360" w:lineRule="auto" w:before="0" w:after="0"/>
        <w:ind w:firstLine="0"/>
        <w:jc w:val="both"/>
      </w:pPr>
      <w:r>
        <w:rPr>
          <w:rFonts w:ascii="Times New Roman" w:hAnsi="Times New Roman"/>
          <w:b w:val="0"/>
          <w:sz w:val="28"/>
        </w:rPr>
        <w:t>6. Hyndman R.J., Athanasopoulos G. Forecasting: Principles and Practice. 3rd ed. Melbourne: OTexts, 2021. 442 p.</w:t>
      </w:r>
    </w:p>
    <w:p>
      <w:pPr>
        <w:spacing w:line="360" w:lineRule="auto" w:before="0" w:after="0"/>
        <w:ind w:firstLine="0"/>
        <w:jc w:val="both"/>
      </w:pPr>
      <w:r>
        <w:rPr>
          <w:rFonts w:ascii="Times New Roman" w:hAnsi="Times New Roman"/>
          <w:b w:val="0"/>
          <w:sz w:val="28"/>
        </w:rPr>
      </w:r>
    </w:p>
    <w:p>
      <w:pPr>
        <w:spacing w:line="360" w:lineRule="auto" w:before="0" w:after="0"/>
        <w:ind w:firstLine="0"/>
        <w:jc w:val="center"/>
      </w:pPr>
      <w:r>
        <w:rPr>
          <w:rFonts w:ascii="Times New Roman" w:hAnsi="Times New Roman"/>
          <w:b w:val="0"/>
          <w:sz w:val="28"/>
        </w:rPr>
        <w:t>© Иванов И.И., Петров П.П., 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