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50DA2">
      <w:pPr>
        <w:spacing w:after="280"/>
        <w:jc w:val="center"/>
      </w:pPr>
      <w:r>
        <w:rPr>
          <w:rFonts w:ascii="黑体" w:hAnsi="黑体" w:eastAsia="黑体"/>
          <w:b/>
          <w:sz w:val="36"/>
        </w:rPr>
        <w:t>实验一  直线插补程序设计</w:t>
      </w:r>
    </w:p>
    <w:p w14:paraId="1DC23959">
      <w:pPr>
        <w:spacing w:before="160" w:after="100"/>
      </w:pPr>
      <w:r>
        <w:rPr>
          <w:rFonts w:ascii="黑体" w:hAnsi="黑体" w:eastAsia="黑体"/>
          <w:b/>
          <w:sz w:val="28"/>
        </w:rPr>
        <w:t>一、实验目的</w:t>
      </w:r>
    </w:p>
    <w:p w14:paraId="3A5AEF4D">
      <w:pPr>
        <w:spacing w:after="60" w:line="360" w:lineRule="auto"/>
        <w:ind w:firstLine="480"/>
      </w:pPr>
      <w:r>
        <w:rPr>
          <w:rFonts w:ascii="宋体" w:hAnsi="宋体" w:eastAsia="宋体"/>
          <w:b w:val="0"/>
          <w:sz w:val="24"/>
        </w:rPr>
        <w:t>深入理解和掌握直线插补的基本原理、偏差判别方法和坐标进给步骤。</w:t>
      </w:r>
    </w:p>
    <w:p w14:paraId="0A84E1E8">
      <w:pPr>
        <w:spacing w:after="60" w:line="360" w:lineRule="auto"/>
        <w:ind w:firstLine="480"/>
      </w:pPr>
      <w:r>
        <w:rPr>
          <w:rFonts w:ascii="宋体" w:hAnsi="宋体" w:eastAsia="宋体"/>
          <w:b w:val="0"/>
          <w:sz w:val="24"/>
        </w:rPr>
        <w:t>通过编写直线插补模拟程序，掌握逐点比较法直线插补的程序设计流程，并能够根据终点坐标自动绘制走步轨迹。</w:t>
      </w:r>
    </w:p>
    <w:p w14:paraId="07D19AA8">
      <w:pPr>
        <w:spacing w:before="160" w:after="100"/>
      </w:pPr>
      <w:r>
        <w:rPr>
          <w:rFonts w:ascii="黑体" w:hAnsi="黑体" w:eastAsia="黑体"/>
          <w:b/>
          <w:sz w:val="28"/>
        </w:rPr>
        <w:t>二、实验原理</w:t>
      </w:r>
    </w:p>
    <w:p w14:paraId="2DA1749D">
      <w:pPr>
        <w:spacing w:after="60" w:line="360" w:lineRule="auto"/>
        <w:ind w:firstLine="480"/>
      </w:pPr>
      <w:r>
        <w:rPr>
          <w:rFonts w:ascii="宋体" w:hAnsi="宋体" w:eastAsia="宋体"/>
          <w:b w:val="0"/>
          <w:sz w:val="24"/>
        </w:rPr>
        <w:t>直线插补系统主要由计算机、步进电动机驱动器、步进电动机和工作台组成。计算机根据插补算法输出坐标进给指令，经驱动器控制步进电动机，使工作台按给定直线轨迹运动。</w:t>
      </w:r>
    </w:p>
    <w:p w14:paraId="040AEEEF">
      <w:pPr>
        <w:spacing w:after="40"/>
        <w:jc w:val="center"/>
      </w:pPr>
      <w:r>
        <w:drawing>
          <wp:inline distT="0" distB="0" distL="114300" distR="114300">
            <wp:extent cx="4983480" cy="648335"/>
            <wp:effectExtent l="0" t="0" r="762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83480" cy="648428"/>
                    </a:xfrm>
                    <a:prstGeom prst="rect">
                      <a:avLst/>
                    </a:prstGeom>
                  </pic:spPr>
                </pic:pic>
              </a:graphicData>
            </a:graphic>
          </wp:inline>
        </w:drawing>
      </w:r>
    </w:p>
    <w:p w14:paraId="000E05FB">
      <w:pPr>
        <w:spacing w:before="40" w:after="120" w:line="288" w:lineRule="auto"/>
        <w:jc w:val="center"/>
      </w:pPr>
      <w:r>
        <w:rPr>
          <w:rFonts w:ascii="宋体" w:hAnsi="宋体" w:eastAsia="宋体"/>
          <w:b w:val="0"/>
          <w:sz w:val="21"/>
        </w:rPr>
        <w:t>图 1 直线插补系统结构图</w:t>
      </w:r>
    </w:p>
    <w:p w14:paraId="450CB54C">
      <w:pPr>
        <w:spacing w:after="60" w:line="360" w:lineRule="auto"/>
        <w:ind w:firstLine="480"/>
      </w:pPr>
      <w:r>
        <w:rPr>
          <w:rFonts w:ascii="宋体" w:hAnsi="宋体" w:eastAsia="宋体"/>
          <w:b w:val="0"/>
          <w:sz w:val="24"/>
        </w:rPr>
        <w:t>本实验采用逐点比较法进行直线插补。设当前插补点为 M(Xₘ, Yₘ)，终点为 E(Xₑ, Yₑ)，偏差判别式为：</w:t>
      </w:r>
    </w:p>
    <w:p w14:paraId="5F7A42FA">
      <w:pPr>
        <w:spacing w:after="80"/>
        <w:jc w:val="center"/>
      </w:pPr>
      <w:r>
        <w:rPr>
          <w:rFonts w:ascii="Cambria" w:hAnsi="Cambria" w:eastAsia="Cambria"/>
          <w:b w:val="0"/>
          <w:sz w:val="24"/>
        </w:rPr>
        <w:t>Fₘ = Yₑ·Xₘ − Xₑ·Yₘ</w:t>
      </w:r>
    </w:p>
    <w:p w14:paraId="5644CD12">
      <w:pPr>
        <w:spacing w:after="60" w:line="360" w:lineRule="auto"/>
        <w:ind w:firstLine="480"/>
      </w:pPr>
      <w:r>
        <w:rPr>
          <w:rFonts w:ascii="宋体" w:hAnsi="宋体" w:eastAsia="宋体"/>
          <w:b w:val="0"/>
          <w:sz w:val="24"/>
        </w:rPr>
        <w:t>当 Fₘ ≥ 0 时，当前点位于给定直线的一侧，程序优先沿 X 方向进给；当 Fₘ &lt; 0 时，程序沿 Y 方向进给。实际的正负方向由终点所在象限决定，偏差公式中的 Xₑ、Yₑ 按绝对值参与计算。</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351"/>
        <w:gridCol w:w="2351"/>
        <w:gridCol w:w="2351"/>
        <w:gridCol w:w="2351"/>
      </w:tblGrid>
      <w:tr w14:paraId="18EB28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351" w:type="dxa"/>
            <w:vAlign w:val="center"/>
          </w:tcPr>
          <w:p w14:paraId="608B080C">
            <w:pPr>
              <w:spacing w:after="0" w:line="288" w:lineRule="auto"/>
              <w:jc w:val="center"/>
            </w:pPr>
            <w:r>
              <w:rPr>
                <w:rFonts w:ascii="宋体" w:hAnsi="宋体" w:eastAsia="宋体"/>
                <w:b/>
                <w:sz w:val="21"/>
              </w:rPr>
              <w:t>偏差条件</w:t>
            </w:r>
          </w:p>
        </w:tc>
        <w:tc>
          <w:tcPr>
            <w:tcW w:w="2351" w:type="dxa"/>
            <w:vAlign w:val="center"/>
          </w:tcPr>
          <w:p w14:paraId="7999D65D">
            <w:pPr>
              <w:spacing w:after="0" w:line="288" w:lineRule="auto"/>
              <w:jc w:val="center"/>
            </w:pPr>
            <w:r>
              <w:rPr>
                <w:rFonts w:ascii="宋体" w:hAnsi="宋体" w:eastAsia="宋体"/>
                <w:b/>
                <w:sz w:val="21"/>
              </w:rPr>
              <w:t>所在象限</w:t>
            </w:r>
          </w:p>
        </w:tc>
        <w:tc>
          <w:tcPr>
            <w:tcW w:w="2351" w:type="dxa"/>
            <w:vAlign w:val="center"/>
          </w:tcPr>
          <w:p w14:paraId="651C4616">
            <w:pPr>
              <w:spacing w:after="0" w:line="288" w:lineRule="auto"/>
              <w:jc w:val="center"/>
            </w:pPr>
            <w:r>
              <w:rPr>
                <w:rFonts w:ascii="宋体" w:hAnsi="宋体" w:eastAsia="宋体"/>
                <w:b/>
                <w:sz w:val="21"/>
              </w:rPr>
              <w:t>进给方向</w:t>
            </w:r>
          </w:p>
        </w:tc>
        <w:tc>
          <w:tcPr>
            <w:tcW w:w="2351" w:type="dxa"/>
            <w:vAlign w:val="center"/>
          </w:tcPr>
          <w:p w14:paraId="39E1E49A">
            <w:pPr>
              <w:spacing w:after="0" w:line="288" w:lineRule="auto"/>
              <w:jc w:val="center"/>
            </w:pPr>
            <w:r>
              <w:rPr>
                <w:rFonts w:ascii="宋体" w:hAnsi="宋体" w:eastAsia="宋体"/>
                <w:b/>
                <w:sz w:val="21"/>
              </w:rPr>
              <w:t>偏差计算公式</w:t>
            </w:r>
          </w:p>
        </w:tc>
      </w:tr>
      <w:tr w14:paraId="1E76A6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351" w:type="dxa"/>
            <w:vAlign w:val="center"/>
          </w:tcPr>
          <w:p w14:paraId="4FD4E646">
            <w:pPr>
              <w:spacing w:after="0" w:line="288" w:lineRule="auto"/>
              <w:jc w:val="center"/>
            </w:pPr>
            <w:r>
              <w:rPr>
                <w:rFonts w:ascii="宋体" w:hAnsi="宋体" w:eastAsia="宋体"/>
                <w:b w:val="0"/>
                <w:sz w:val="21"/>
              </w:rPr>
              <w:t>Fₘ ≥ 0</w:t>
            </w:r>
          </w:p>
        </w:tc>
        <w:tc>
          <w:tcPr>
            <w:tcW w:w="2351" w:type="dxa"/>
            <w:vAlign w:val="center"/>
          </w:tcPr>
          <w:p w14:paraId="25144F93">
            <w:pPr>
              <w:spacing w:after="0" w:line="288" w:lineRule="auto"/>
              <w:jc w:val="center"/>
            </w:pPr>
            <w:r>
              <w:rPr>
                <w:rFonts w:ascii="宋体" w:hAnsi="宋体" w:eastAsia="宋体"/>
                <w:b w:val="0"/>
                <w:sz w:val="21"/>
              </w:rPr>
              <w:t>一、四</w:t>
            </w:r>
          </w:p>
        </w:tc>
        <w:tc>
          <w:tcPr>
            <w:tcW w:w="2351" w:type="dxa"/>
            <w:vAlign w:val="center"/>
          </w:tcPr>
          <w:p w14:paraId="1187D155">
            <w:pPr>
              <w:spacing w:after="0" w:line="288" w:lineRule="auto"/>
              <w:jc w:val="center"/>
            </w:pPr>
            <w:r>
              <w:rPr>
                <w:rFonts w:ascii="宋体" w:hAnsi="宋体" w:eastAsia="宋体"/>
                <w:b w:val="0"/>
                <w:sz w:val="21"/>
              </w:rPr>
              <w:t>+x</w:t>
            </w:r>
          </w:p>
        </w:tc>
        <w:tc>
          <w:tcPr>
            <w:tcW w:w="2351" w:type="dxa"/>
            <w:vAlign w:val="center"/>
          </w:tcPr>
          <w:p w14:paraId="1CCE7F0E">
            <w:pPr>
              <w:spacing w:after="0" w:line="288" w:lineRule="auto"/>
              <w:jc w:val="center"/>
            </w:pPr>
            <w:r>
              <w:rPr>
                <w:rFonts w:ascii="宋体" w:hAnsi="宋体" w:eastAsia="宋体"/>
                <w:b w:val="0"/>
                <w:sz w:val="21"/>
              </w:rPr>
              <w:t>Fₘ₊₁ = Fₘ − |Yₑ|</w:t>
            </w:r>
          </w:p>
        </w:tc>
      </w:tr>
      <w:tr w14:paraId="7F16E8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351" w:type="dxa"/>
            <w:vAlign w:val="center"/>
          </w:tcPr>
          <w:p w14:paraId="668AA8FE">
            <w:pPr>
              <w:spacing w:after="0" w:line="288" w:lineRule="auto"/>
              <w:jc w:val="center"/>
            </w:pPr>
            <w:r>
              <w:rPr>
                <w:rFonts w:ascii="宋体" w:hAnsi="宋体" w:eastAsia="宋体"/>
                <w:b w:val="0"/>
                <w:sz w:val="21"/>
              </w:rPr>
              <w:t>Fₘ ≥ 0</w:t>
            </w:r>
          </w:p>
        </w:tc>
        <w:tc>
          <w:tcPr>
            <w:tcW w:w="2351" w:type="dxa"/>
            <w:vAlign w:val="center"/>
          </w:tcPr>
          <w:p w14:paraId="39AAB354">
            <w:pPr>
              <w:spacing w:after="0" w:line="288" w:lineRule="auto"/>
              <w:jc w:val="center"/>
            </w:pPr>
            <w:r>
              <w:rPr>
                <w:rFonts w:ascii="宋体" w:hAnsi="宋体" w:eastAsia="宋体"/>
                <w:b w:val="0"/>
                <w:sz w:val="21"/>
              </w:rPr>
              <w:t>二、三</w:t>
            </w:r>
          </w:p>
        </w:tc>
        <w:tc>
          <w:tcPr>
            <w:tcW w:w="2351" w:type="dxa"/>
            <w:vAlign w:val="center"/>
          </w:tcPr>
          <w:p w14:paraId="3AC52DCE">
            <w:pPr>
              <w:spacing w:after="0" w:line="288" w:lineRule="auto"/>
              <w:jc w:val="center"/>
            </w:pPr>
            <w:r>
              <w:rPr>
                <w:rFonts w:ascii="宋体" w:hAnsi="宋体" w:eastAsia="宋体"/>
                <w:b w:val="0"/>
                <w:sz w:val="21"/>
              </w:rPr>
              <w:t>−x</w:t>
            </w:r>
          </w:p>
        </w:tc>
        <w:tc>
          <w:tcPr>
            <w:tcW w:w="2351" w:type="dxa"/>
            <w:vAlign w:val="center"/>
          </w:tcPr>
          <w:p w14:paraId="3FC57BCD">
            <w:pPr>
              <w:spacing w:after="0" w:line="288" w:lineRule="auto"/>
              <w:jc w:val="center"/>
            </w:pPr>
            <w:r>
              <w:rPr>
                <w:rFonts w:ascii="宋体" w:hAnsi="宋体" w:eastAsia="宋体"/>
                <w:b w:val="0"/>
                <w:sz w:val="21"/>
              </w:rPr>
              <w:t>Fₘ₊₁ = Fₘ − |Yₑ|</w:t>
            </w:r>
          </w:p>
        </w:tc>
      </w:tr>
      <w:tr w14:paraId="5AE21E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351" w:type="dxa"/>
            <w:vAlign w:val="center"/>
          </w:tcPr>
          <w:p w14:paraId="5328FAD7">
            <w:pPr>
              <w:spacing w:after="0" w:line="288" w:lineRule="auto"/>
              <w:jc w:val="center"/>
            </w:pPr>
            <w:r>
              <w:rPr>
                <w:rFonts w:ascii="宋体" w:hAnsi="宋体" w:eastAsia="宋体"/>
                <w:b w:val="0"/>
                <w:sz w:val="21"/>
              </w:rPr>
              <w:t>Fₘ &lt; 0</w:t>
            </w:r>
          </w:p>
        </w:tc>
        <w:tc>
          <w:tcPr>
            <w:tcW w:w="2351" w:type="dxa"/>
            <w:vAlign w:val="center"/>
          </w:tcPr>
          <w:p w14:paraId="75660092">
            <w:pPr>
              <w:spacing w:after="0" w:line="288" w:lineRule="auto"/>
              <w:jc w:val="center"/>
            </w:pPr>
            <w:r>
              <w:rPr>
                <w:rFonts w:ascii="宋体" w:hAnsi="宋体" w:eastAsia="宋体"/>
                <w:b w:val="0"/>
                <w:sz w:val="21"/>
              </w:rPr>
              <w:t>一、二</w:t>
            </w:r>
          </w:p>
        </w:tc>
        <w:tc>
          <w:tcPr>
            <w:tcW w:w="2351" w:type="dxa"/>
            <w:vAlign w:val="center"/>
          </w:tcPr>
          <w:p w14:paraId="2D2AD179">
            <w:pPr>
              <w:spacing w:after="0" w:line="288" w:lineRule="auto"/>
              <w:jc w:val="center"/>
            </w:pPr>
            <w:r>
              <w:rPr>
                <w:rFonts w:ascii="宋体" w:hAnsi="宋体" w:eastAsia="宋体"/>
                <w:b w:val="0"/>
                <w:sz w:val="21"/>
              </w:rPr>
              <w:t>+y</w:t>
            </w:r>
          </w:p>
        </w:tc>
        <w:tc>
          <w:tcPr>
            <w:tcW w:w="2351" w:type="dxa"/>
            <w:vAlign w:val="center"/>
          </w:tcPr>
          <w:p w14:paraId="6DE735B8">
            <w:pPr>
              <w:spacing w:after="0" w:line="288" w:lineRule="auto"/>
              <w:jc w:val="center"/>
            </w:pPr>
            <w:r>
              <w:rPr>
                <w:rFonts w:ascii="宋体" w:hAnsi="宋体" w:eastAsia="宋体"/>
                <w:b w:val="0"/>
                <w:sz w:val="21"/>
              </w:rPr>
              <w:t>Fₘ₊₁ = Fₘ + |Xₑ|</w:t>
            </w:r>
          </w:p>
        </w:tc>
      </w:tr>
      <w:tr w14:paraId="4BC3D6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351" w:type="dxa"/>
            <w:vAlign w:val="center"/>
          </w:tcPr>
          <w:p w14:paraId="1F096502">
            <w:pPr>
              <w:spacing w:after="0" w:line="288" w:lineRule="auto"/>
              <w:jc w:val="center"/>
            </w:pPr>
            <w:r>
              <w:rPr>
                <w:rFonts w:ascii="宋体" w:hAnsi="宋体" w:eastAsia="宋体"/>
                <w:b w:val="0"/>
                <w:sz w:val="21"/>
              </w:rPr>
              <w:t>Fₘ &lt; 0</w:t>
            </w:r>
          </w:p>
        </w:tc>
        <w:tc>
          <w:tcPr>
            <w:tcW w:w="2351" w:type="dxa"/>
            <w:vAlign w:val="center"/>
          </w:tcPr>
          <w:p w14:paraId="4078280B">
            <w:pPr>
              <w:spacing w:after="0" w:line="288" w:lineRule="auto"/>
              <w:jc w:val="center"/>
            </w:pPr>
            <w:r>
              <w:rPr>
                <w:rFonts w:ascii="宋体" w:hAnsi="宋体" w:eastAsia="宋体"/>
                <w:b w:val="0"/>
                <w:sz w:val="21"/>
              </w:rPr>
              <w:t>三、四</w:t>
            </w:r>
          </w:p>
        </w:tc>
        <w:tc>
          <w:tcPr>
            <w:tcW w:w="2351" w:type="dxa"/>
            <w:vAlign w:val="center"/>
          </w:tcPr>
          <w:p w14:paraId="015406C1">
            <w:pPr>
              <w:spacing w:after="0" w:line="288" w:lineRule="auto"/>
              <w:jc w:val="center"/>
            </w:pPr>
            <w:r>
              <w:rPr>
                <w:rFonts w:ascii="宋体" w:hAnsi="宋体" w:eastAsia="宋体"/>
                <w:b w:val="0"/>
                <w:sz w:val="21"/>
              </w:rPr>
              <w:t>−y</w:t>
            </w:r>
          </w:p>
        </w:tc>
        <w:tc>
          <w:tcPr>
            <w:tcW w:w="2351" w:type="dxa"/>
            <w:vAlign w:val="center"/>
          </w:tcPr>
          <w:p w14:paraId="1A27EF33">
            <w:pPr>
              <w:spacing w:after="0" w:line="288" w:lineRule="auto"/>
              <w:jc w:val="center"/>
            </w:pPr>
            <w:r>
              <w:rPr>
                <w:rFonts w:ascii="宋体" w:hAnsi="宋体" w:eastAsia="宋体"/>
                <w:b w:val="0"/>
                <w:sz w:val="21"/>
              </w:rPr>
              <w:t>Fₘ₊₁ = Fₘ + |Xₑ|</w:t>
            </w:r>
          </w:p>
        </w:tc>
      </w:tr>
    </w:tbl>
    <w:p w14:paraId="450198FF">
      <w:pPr>
        <w:spacing w:before="40" w:after="120" w:line="288" w:lineRule="auto"/>
        <w:jc w:val="center"/>
      </w:pPr>
      <w:r>
        <w:rPr>
          <w:rFonts w:ascii="宋体" w:hAnsi="宋体" w:eastAsia="宋体"/>
          <w:b w:val="0"/>
          <w:sz w:val="21"/>
        </w:rPr>
        <w:t>表 1 四象限直线插补坐标运算公式</w:t>
      </w:r>
    </w:p>
    <w:p w14:paraId="1E973C1B">
      <w:pPr>
        <w:spacing w:after="60" w:line="360" w:lineRule="auto"/>
        <w:ind w:firstLine="480"/>
      </w:pPr>
      <w:r>
        <w:rPr>
          <w:rFonts w:ascii="宋体" w:hAnsi="宋体" w:eastAsia="宋体"/>
          <w:b w:val="0"/>
          <w:sz w:val="24"/>
        </w:rPr>
        <w:t>直线插补的循环过程包括偏差判别、坐标进给、偏差计算和终点判断。终点判断采用计数器 Nₓᵧ：</w:t>
      </w:r>
    </w:p>
    <w:p w14:paraId="6E834EFF">
      <w:pPr>
        <w:spacing w:after="80"/>
        <w:jc w:val="center"/>
      </w:pPr>
      <w:r>
        <w:rPr>
          <w:rFonts w:ascii="Cambria" w:hAnsi="Cambria" w:eastAsia="Cambria"/>
          <w:b w:val="0"/>
          <w:sz w:val="24"/>
        </w:rPr>
        <w:t>Nₓᵧ = |Xₑ − X₀| + |Yₑ − Y₀|</w:t>
      </w:r>
    </w:p>
    <w:p w14:paraId="5DC0B440">
      <w:pPr>
        <w:spacing w:after="60" w:line="360" w:lineRule="auto"/>
        <w:ind w:firstLine="480"/>
      </w:pPr>
      <w:r>
        <w:rPr>
          <w:rFonts w:ascii="宋体" w:hAnsi="宋体" w:eastAsia="宋体"/>
          <w:b w:val="0"/>
          <w:sz w:val="24"/>
        </w:rPr>
        <w:t>每完成一次坐标进给，Nₓᵧ 减 1；当 Nₓᵧ = 0 时，说明插补到达终点，模拟结束。</w:t>
      </w:r>
    </w:p>
    <w:p w14:paraId="6BCAA87A">
      <w:pPr>
        <w:spacing w:before="160" w:after="100"/>
      </w:pPr>
      <w:r>
        <w:rPr>
          <w:rFonts w:ascii="黑体" w:hAnsi="黑体" w:eastAsia="黑体"/>
          <w:b/>
          <w:sz w:val="28"/>
        </w:rPr>
        <w:t>三、程序实现流程</w:t>
      </w:r>
    </w:p>
    <w:p w14:paraId="44016F53">
      <w:pPr>
        <w:spacing w:after="60" w:line="360" w:lineRule="auto"/>
        <w:ind w:firstLine="480"/>
      </w:pPr>
      <w:r>
        <w:rPr>
          <w:rFonts w:ascii="宋体" w:hAnsi="宋体" w:eastAsia="宋体"/>
          <w:b w:val="0"/>
          <w:sz w:val="24"/>
        </w:rPr>
        <w:t>程序由界面输入终点坐标 Xₑ、Yₑ，先计算 Nₓᵧ 并将 Fₘ 置为 0，再判断终点所在象限。随后进入插补循环：进行偏差判别，按照表 1 选择进给方向，在坐标系中绘制一步，更新偏差值，最后判断 Nₓᵧ 是否为 0。若未到终点则继续循环，直至模拟结束。</w:t>
      </w:r>
    </w:p>
    <w:p w14:paraId="160B2FA1">
      <w:pPr>
        <w:spacing w:after="40"/>
        <w:jc w:val="center"/>
      </w:pPr>
      <w:r>
        <w:drawing>
          <wp:inline distT="0" distB="0" distL="114300" distR="114300">
            <wp:extent cx="3154680" cy="4558665"/>
            <wp:effectExtent l="0" t="0" r="762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154680" cy="4558686"/>
                    </a:xfrm>
                    <a:prstGeom prst="rect">
                      <a:avLst/>
                    </a:prstGeom>
                  </pic:spPr>
                </pic:pic>
              </a:graphicData>
            </a:graphic>
          </wp:inline>
        </w:drawing>
      </w:r>
    </w:p>
    <w:p w14:paraId="074FB9DD">
      <w:pPr>
        <w:spacing w:before="40" w:after="120" w:line="288" w:lineRule="auto"/>
        <w:jc w:val="center"/>
      </w:pPr>
      <w:r>
        <w:rPr>
          <w:rFonts w:ascii="宋体" w:hAnsi="宋体" w:eastAsia="宋体"/>
          <w:b w:val="0"/>
          <w:sz w:val="21"/>
        </w:rPr>
        <w:t>图 2 直线插补程序实现流程图（第二种方法）</w:t>
      </w:r>
    </w:p>
    <w:p w14:paraId="77E18807">
      <w:pPr>
        <w:spacing w:before="160" w:after="100"/>
      </w:pPr>
      <w:r>
        <w:rPr>
          <w:rFonts w:ascii="黑体" w:hAnsi="黑体" w:eastAsia="黑体"/>
          <w:b/>
          <w:sz w:val="28"/>
        </w:rPr>
        <w:t>四、实验内容</w:t>
      </w:r>
    </w:p>
    <w:p w14:paraId="393C8B4E">
      <w:pPr>
        <w:spacing w:before="80" w:after="100"/>
      </w:pPr>
      <w:r>
        <w:rPr>
          <w:rFonts w:ascii="黑体" w:hAnsi="黑体" w:eastAsia="黑体"/>
          <w:b/>
          <w:sz w:val="24"/>
        </w:rPr>
        <w:t>4.1 程序主界面</w:t>
      </w:r>
    </w:p>
    <w:p w14:paraId="036DAA83">
      <w:pPr>
        <w:spacing w:after="60" w:line="360" w:lineRule="auto"/>
        <w:ind w:firstLine="480"/>
      </w:pPr>
      <w:r>
        <w:rPr>
          <w:rFonts w:ascii="宋体" w:hAnsi="宋体" w:eastAsia="宋体"/>
          <w:b w:val="0"/>
          <w:sz w:val="24"/>
        </w:rPr>
        <w:t>程序主界面由绘图区和参数输入区组成。绘图区用于显示坐标轴和直线插补走步轨迹，参数输入区用于输入终点 Xₑ 和终点 Yₑ。单击“运行（开始插补）”按钮后，程序根据输入终点坐标逐步绘制插补轨迹。</w:t>
      </w:r>
    </w:p>
    <w:p w14:paraId="447A88CE">
      <w:pPr>
        <w:spacing w:after="40"/>
        <w:jc w:val="center"/>
      </w:pPr>
      <w:r>
        <w:drawing>
          <wp:inline distT="0" distB="0" distL="114300" distR="114300">
            <wp:extent cx="4526280" cy="312039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26280" cy="3120827"/>
                    </a:xfrm>
                    <a:prstGeom prst="rect">
                      <a:avLst/>
                    </a:prstGeom>
                  </pic:spPr>
                </pic:pic>
              </a:graphicData>
            </a:graphic>
          </wp:inline>
        </w:drawing>
      </w:r>
    </w:p>
    <w:p w14:paraId="5009FC59">
      <w:pPr>
        <w:spacing w:before="40" w:after="120" w:line="288" w:lineRule="auto"/>
        <w:jc w:val="center"/>
      </w:pPr>
      <w:r>
        <w:rPr>
          <w:rFonts w:ascii="宋体" w:hAnsi="宋体" w:eastAsia="宋体"/>
          <w:b w:val="0"/>
          <w:sz w:val="21"/>
        </w:rPr>
        <w:t>图 3 直线插补程序主界面</w:t>
      </w:r>
    </w:p>
    <w:p w14:paraId="32357AA8">
      <w:pPr>
        <w:spacing w:before="80" w:after="100"/>
      </w:pPr>
      <w:r>
        <w:rPr>
          <w:rFonts w:ascii="黑体" w:hAnsi="黑体" w:eastAsia="黑体"/>
          <w:b/>
          <w:sz w:val="24"/>
        </w:rPr>
        <w:t>4.2 四象限直线轨迹测试</w:t>
      </w:r>
    </w:p>
    <w:p w14:paraId="7CE69963">
      <w:pPr>
        <w:spacing w:after="60" w:line="360" w:lineRule="auto"/>
        <w:ind w:firstLine="480"/>
      </w:pPr>
      <w:r>
        <w:rPr>
          <w:rFonts w:ascii="宋体" w:hAnsi="宋体" w:eastAsia="宋体"/>
          <w:b w:val="0"/>
          <w:sz w:val="24"/>
        </w:rPr>
        <w:t>为了验证程序对不同象限终点坐标的适应性，本实验分别测试了第一、第二、第三、第四象限的直线插补轨迹。测试结果集中列示如下。</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03"/>
        <w:gridCol w:w="4703"/>
      </w:tblGrid>
      <w:tr w14:paraId="73DDD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3" w:type="dxa"/>
            <w:vAlign w:val="top"/>
          </w:tcPr>
          <w:p w14:paraId="5750DCAA">
            <w:pPr>
              <w:spacing w:after="0"/>
              <w:jc w:val="center"/>
            </w:pPr>
            <w:r>
              <w:drawing>
                <wp:inline distT="0" distB="0" distL="114300" distR="114300">
                  <wp:extent cx="2541905" cy="2003425"/>
                  <wp:effectExtent l="0" t="0" r="10795"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542032" cy="2003572"/>
                          </a:xfrm>
                          <a:prstGeom prst="rect">
                            <a:avLst/>
                          </a:prstGeom>
                        </pic:spPr>
                      </pic:pic>
                    </a:graphicData>
                  </a:graphic>
                </wp:inline>
              </w:drawing>
            </w:r>
          </w:p>
          <w:p w14:paraId="0F89EAD6">
            <w:pPr>
              <w:spacing w:before="40" w:after="120" w:line="264" w:lineRule="auto"/>
              <w:jc w:val="center"/>
            </w:pPr>
            <w:r>
              <w:rPr>
                <w:rFonts w:ascii="宋体" w:hAnsi="宋体" w:eastAsia="宋体"/>
                <w:b w:val="0"/>
                <w:sz w:val="19"/>
              </w:rPr>
              <w:t>图 4 第一象限直线插补轨迹</w:t>
            </w:r>
          </w:p>
        </w:tc>
        <w:tc>
          <w:tcPr>
            <w:tcW w:w="4703" w:type="dxa"/>
            <w:vAlign w:val="top"/>
          </w:tcPr>
          <w:p w14:paraId="18C082FB">
            <w:pPr>
              <w:spacing w:after="0"/>
              <w:jc w:val="center"/>
            </w:pPr>
            <w:r>
              <w:drawing>
                <wp:inline distT="0" distB="0" distL="114300" distR="114300">
                  <wp:extent cx="2541905" cy="2014220"/>
                  <wp:effectExtent l="0" t="0" r="1079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542032" cy="2014361"/>
                          </a:xfrm>
                          <a:prstGeom prst="rect">
                            <a:avLst/>
                          </a:prstGeom>
                        </pic:spPr>
                      </pic:pic>
                    </a:graphicData>
                  </a:graphic>
                </wp:inline>
              </w:drawing>
            </w:r>
          </w:p>
          <w:p w14:paraId="3AE31419">
            <w:pPr>
              <w:spacing w:before="40" w:after="120" w:line="264" w:lineRule="auto"/>
              <w:jc w:val="center"/>
            </w:pPr>
            <w:r>
              <w:rPr>
                <w:rFonts w:ascii="宋体" w:hAnsi="宋体" w:eastAsia="宋体"/>
                <w:b w:val="0"/>
                <w:sz w:val="19"/>
              </w:rPr>
              <w:t>图 5 第二象限直线插补轨迹</w:t>
            </w:r>
          </w:p>
        </w:tc>
      </w:tr>
      <w:tr w14:paraId="315DB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3" w:type="dxa"/>
            <w:vAlign w:val="top"/>
          </w:tcPr>
          <w:p w14:paraId="74D105E9">
            <w:pPr>
              <w:spacing w:after="0"/>
              <w:jc w:val="center"/>
            </w:pPr>
            <w:r>
              <w:drawing>
                <wp:inline distT="0" distB="0" distL="114300" distR="114300">
                  <wp:extent cx="2541905" cy="2009140"/>
                  <wp:effectExtent l="0" t="0" r="107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542032" cy="2009296"/>
                          </a:xfrm>
                          <a:prstGeom prst="rect">
                            <a:avLst/>
                          </a:prstGeom>
                        </pic:spPr>
                      </pic:pic>
                    </a:graphicData>
                  </a:graphic>
                </wp:inline>
              </w:drawing>
            </w:r>
          </w:p>
          <w:p w14:paraId="530CF136">
            <w:pPr>
              <w:spacing w:before="40" w:after="120" w:line="264" w:lineRule="auto"/>
              <w:jc w:val="center"/>
            </w:pPr>
            <w:r>
              <w:rPr>
                <w:rFonts w:ascii="宋体" w:hAnsi="宋体" w:eastAsia="宋体"/>
                <w:b w:val="0"/>
                <w:sz w:val="19"/>
              </w:rPr>
              <w:t>图 6 第三象限直线插补轨迹</w:t>
            </w:r>
          </w:p>
        </w:tc>
        <w:tc>
          <w:tcPr>
            <w:tcW w:w="4703" w:type="dxa"/>
            <w:vAlign w:val="top"/>
          </w:tcPr>
          <w:p w14:paraId="4286844F">
            <w:pPr>
              <w:spacing w:after="0"/>
              <w:jc w:val="center"/>
            </w:pPr>
            <w:r>
              <w:drawing>
                <wp:inline distT="0" distB="0" distL="114300" distR="114300">
                  <wp:extent cx="2541905" cy="2007235"/>
                  <wp:effectExtent l="0" t="0" r="1079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542032" cy="2007532"/>
                          </a:xfrm>
                          <a:prstGeom prst="rect">
                            <a:avLst/>
                          </a:prstGeom>
                        </pic:spPr>
                      </pic:pic>
                    </a:graphicData>
                  </a:graphic>
                </wp:inline>
              </w:drawing>
            </w:r>
          </w:p>
          <w:p w14:paraId="6F3FBFED">
            <w:pPr>
              <w:spacing w:before="40" w:after="120" w:line="264" w:lineRule="auto"/>
              <w:jc w:val="center"/>
            </w:pPr>
            <w:r>
              <w:rPr>
                <w:rFonts w:ascii="宋体" w:hAnsi="宋体" w:eastAsia="宋体"/>
                <w:b w:val="0"/>
                <w:sz w:val="19"/>
              </w:rPr>
              <w:t>图 7 第四象限直线插补轨迹</w:t>
            </w:r>
          </w:p>
        </w:tc>
      </w:tr>
    </w:tbl>
    <w:p w14:paraId="76889927">
      <w:pPr>
        <w:spacing w:before="80" w:after="100"/>
      </w:pPr>
      <w:r>
        <w:rPr>
          <w:rFonts w:ascii="黑体" w:hAnsi="黑体" w:eastAsia="黑体"/>
          <w:b/>
          <w:sz w:val="24"/>
        </w:rPr>
        <w:t>4.3 测试坐标与结果说明</w:t>
      </w:r>
    </w:p>
    <w:p w14:paraId="410A412B">
      <w:pPr>
        <w:spacing w:after="60" w:line="360" w:lineRule="auto"/>
        <w:ind w:firstLine="480"/>
      </w:pPr>
      <w:r>
        <w:rPr>
          <w:rFonts w:ascii="宋体" w:hAnsi="宋体" w:eastAsia="宋体"/>
          <w:b w:val="0"/>
          <w:sz w:val="24"/>
        </w:rPr>
        <w:t>从实验结果可以看出，程序能够根据终点坐标所在象限自动选择正确的坐标进给方向。四组测试均从原点出发，并分别向右上、左上、左下、右下方向生成插补轨</w:t>
      </w:r>
      <w:bookmarkStart w:id="0" w:name="_GoBack"/>
      <w:bookmarkEnd w:id="0"/>
      <w:r>
        <w:rPr>
          <w:rFonts w:ascii="宋体" w:hAnsi="宋体" w:eastAsia="宋体"/>
          <w:b w:val="0"/>
          <w:sz w:val="24"/>
        </w:rPr>
        <w:t>迹，终点位置与输入坐标一致，说明偏差判别、象限判断、坐标进给和终点计数逻辑基本正确。</w:t>
      </w:r>
    </w:p>
    <w:p w14:paraId="1AA6CE42">
      <w:pPr>
        <w:spacing w:after="60" w:line="360" w:lineRule="auto"/>
        <w:ind w:firstLine="480"/>
      </w:pPr>
      <w:r>
        <w:rPr>
          <w:rFonts w:ascii="宋体" w:hAnsi="宋体" w:eastAsia="宋体"/>
          <w:b w:val="0"/>
          <w:sz w:val="24"/>
        </w:rPr>
        <w:t>逐点比较法的轨迹由离散走步点组成，因此在放大观察时会呈现一定的阶梯状。终点坐标绝对值越大，走步次数越多，轨迹整体越接近理论直线；当斜率较大时，某一方向的进给次数更多，轨迹倾斜程度也更加明显。实际应用中应结合加工精度要求选择合适的坐标单位和步长。</w:t>
      </w:r>
    </w:p>
    <w:p w14:paraId="79A9531A">
      <w:pPr>
        <w:spacing w:before="160" w:after="100"/>
      </w:pPr>
      <w:r>
        <w:rPr>
          <w:rFonts w:ascii="黑体" w:hAnsi="黑体" w:eastAsia="黑体"/>
          <w:b/>
          <w:sz w:val="28"/>
        </w:rPr>
        <w:t>五、心得总结</w:t>
      </w:r>
    </w:p>
    <w:p w14:paraId="7593CCFC">
      <w:pPr>
        <w:spacing w:after="60" w:line="360" w:lineRule="auto"/>
        <w:ind w:firstLine="480"/>
      </w:pPr>
      <w:r>
        <w:rPr>
          <w:rFonts w:ascii="宋体" w:hAnsi="宋体" w:eastAsia="宋体"/>
          <w:b w:val="0"/>
          <w:sz w:val="24"/>
        </w:rPr>
        <w:t>通过本次实验，我进一步理解了逐点比较法直线插补的核心思想。程序并不是一次性计算完整直线，而是在每一个插补步中根据偏差判别式判断当前位置与目标直线的关系，再选择 X 方向或 Y 方向进行一步进给。</w:t>
      </w:r>
    </w:p>
    <w:p w14:paraId="6D5C256A">
      <w:pPr>
        <w:spacing w:after="60" w:line="360" w:lineRule="auto"/>
        <w:ind w:firstLine="480"/>
      </w:pPr>
      <w:r>
        <w:rPr>
          <w:rFonts w:ascii="宋体" w:hAnsi="宋体" w:eastAsia="宋体"/>
          <w:b w:val="0"/>
          <w:sz w:val="24"/>
        </w:rPr>
        <w:t>在程序实现过程中，象限判断是影响插补方向的关键。四个象限中的终点坐标符号不同，实际进给方向也不同；但偏差计算可以通过终点坐标的绝对值进行统一处理，从而简化程序逻辑。</w:t>
      </w:r>
    </w:p>
    <w:p w14:paraId="50F29CA1">
      <w:pPr>
        <w:spacing w:after="60" w:line="360" w:lineRule="auto"/>
        <w:ind w:firstLine="480"/>
      </w:pPr>
      <w:r>
        <w:rPr>
          <w:rFonts w:ascii="宋体" w:hAnsi="宋体" w:eastAsia="宋体"/>
          <w:b w:val="0"/>
          <w:sz w:val="24"/>
        </w:rPr>
        <w:t>本次实验也说明，插补算法虽然公式并不复杂，但偏差判别、坐标进给、偏差修正和终点判断必须严格按顺序执行。只要其中某一步符号或判断条件出错，轨迹方向和终点位置都会产生明显偏差。通过本次实验，我对数控系统中直线插补的实现流程和程序调试方法有了更直观的认识。</w:t>
      </w:r>
    </w:p>
    <w:sectPr>
      <w:pgSz w:w="12240" w:h="15840"/>
      <w:pgMar w:top="1361"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Courier">
    <w:panose1 w:val="00000000000000000000"/>
    <w:charset w:val="00"/>
    <w:family w:val="auto"/>
    <w:pitch w:val="default"/>
    <w:sig w:usb0="00000000" w:usb1="00000000" w:usb2="00000000" w:usb3="00000000" w:csb0="00000000" w:csb1="00000000"/>
  </w:font>
  <w:font w:name="黑体">
    <w:altName w:val="Droid Sans Fallback"/>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ＭＳ ゴシック">
    <w:altName w:val="Gubbi"/>
    <w:panose1 w:val="00000000000000000000"/>
    <w:charset w:val="00"/>
    <w:family w:val="auto"/>
    <w:pitch w:val="default"/>
    <w:sig w:usb0="00000000" w:usb1="00000000" w:usb2="00000000" w:usb3="00000000" w:csb0="00000000" w:csb1="00000000"/>
  </w:font>
  <w:font w:name="文鼎ＰＬ简中楷">
    <w:panose1 w:val="02010600030101010101"/>
    <w:charset w:val="86"/>
    <w:family w:val="auto"/>
    <w:pitch w:val="default"/>
    <w:sig w:usb0="00000001" w:usb1="080E0000" w:usb2="00000000" w:usb3="00000000" w:csb0="00040000" w:csb1="00000000"/>
  </w:font>
  <w:font w:name="OpenSymbol">
    <w:panose1 w:val="05010000000000000000"/>
    <w:charset w:val="00"/>
    <w:family w:val="auto"/>
    <w:pitch w:val="default"/>
    <w:sig w:usb0="800000AF" w:usb1="1001ECEA" w:usb2="00000000" w:usb3="00000000" w:csb0="8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3629AE"/>
    <w:rsid w:val="734E998B"/>
    <w:rsid w:val="DBE32F84"/>
    <w:rsid w:val="FDF746F8"/>
    <w:rsid w:val="FF7B55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南柯</cp:lastModifiedBy>
  <dcterms:modified xsi:type="dcterms:W3CDTF">2026-05-18T08:53:42Z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ICV">
    <vt:lpwstr>7FCB5F1CC683C5340C630A6A35ACCC22_42</vt:lpwstr>
  </property>
</Properties>
</file>