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CFCBA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实验三  单回路PID 控制器的设计</w:t>
      </w:r>
    </w:p>
    <w:p w14:paraId="76F8F8C1">
      <w:pPr>
        <w:spacing w:before="120" w:after="0" w:line="360" w:lineRule="auto"/>
        <w:rPr>
          <w:rFonts w:hint="eastAsia"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8"/>
        </w:rPr>
        <w:t>一、实验目的</w:t>
      </w:r>
    </w:p>
    <w:p w14:paraId="4383EFA4">
      <w:pPr>
        <w:rPr>
          <w:rFonts w:hint="eastAsia"/>
        </w:rPr>
      </w:pPr>
    </w:p>
    <w:p w14:paraId="6D6FFCCE">
      <w:pPr>
        <w:rPr>
          <w:rFonts w:hint="eastAsia"/>
        </w:rPr>
      </w:pPr>
    </w:p>
    <w:p w14:paraId="65CB36CF">
      <w:pPr>
        <w:spacing w:before="120" w:after="0" w:line="360" w:lineRule="auto"/>
        <w:rPr>
          <w:rFonts w:hint="eastAsia" w:ascii="宋体" w:hAnsi="宋体" w:eastAsia="宋体"/>
          <w:b/>
          <w:sz w:val="28"/>
        </w:rPr>
      </w:pPr>
    </w:p>
    <w:p w14:paraId="67E47B98">
      <w:pPr>
        <w:spacing w:before="120" w:after="0" w:line="360" w:lineRule="auto"/>
        <w:rPr>
          <w:rFonts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8"/>
        </w:rPr>
        <w:t xml:space="preserve"> 二、实验原理</w:t>
      </w:r>
    </w:p>
    <w:p w14:paraId="4DD2B7E4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166AE721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75F64054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6F712AF5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4F2457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D9D7849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946AC8E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172E83FE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A207897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CB64141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1A109E2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74BD4327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942C0FE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D9F2A7D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5F0B86E5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1B0D3C50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2394516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C170B67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6F35987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607379C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938EAE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763E223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2156FB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6A5B152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8605711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AB6E3A2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6C2F6B02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5CBF15E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559ACD5A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32E5798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1E8345E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4976C28C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7BB62236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4777F5B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6E92784B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78AD5C5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47D6FE5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524F5876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72BE70CC">
      <w:pPr>
        <w:spacing w:before="120" w:after="0" w:line="360" w:lineRule="auto"/>
      </w:pPr>
      <w:r>
        <w:rPr>
          <w:rFonts w:ascii="宋体" w:hAnsi="宋体" w:eastAsia="宋体"/>
          <w:b/>
          <w:sz w:val="28"/>
        </w:rPr>
        <w:t>四、实验结果及分析</w:t>
      </w:r>
    </w:p>
    <w:p w14:paraId="6403CAA8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4.1 程序主界面设计</w:t>
      </w:r>
    </w:p>
    <w:p w14:paraId="0725BD25">
      <w:pPr>
        <w:spacing w:before="60" w:after="0"/>
        <w:jc w:val="center"/>
      </w:pPr>
      <w:r>
        <w:drawing>
          <wp:inline distT="0" distB="0" distL="114300" distR="114300">
            <wp:extent cx="5166360" cy="3804285"/>
            <wp:effectExtent l="0" t="0" r="152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65C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图5 对象离散化和 PID 控制程序主界面图</w:t>
      </w:r>
    </w:p>
    <w:p w14:paraId="6343E14F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22D08768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36E1BC7A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D0A88CE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0DDED01C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D826B8D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3AC11D5E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1D71DA96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06B8E8BD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1FC20721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118BD313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37140964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63D4F294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624EE9D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4.2 对象离散化曲线</w:t>
      </w:r>
    </w:p>
    <w:p w14:paraId="6A422709">
      <w:pPr>
        <w:spacing w:before="60" w:after="0"/>
        <w:jc w:val="center"/>
      </w:pPr>
      <w:r>
        <w:drawing>
          <wp:inline distT="0" distB="0" distL="114300" distR="114300">
            <wp:extent cx="5166360" cy="3797935"/>
            <wp:effectExtent l="0" t="0" r="152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7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74D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图6 对象离散化响应曲线</w:t>
      </w:r>
    </w:p>
    <w:p w14:paraId="77939E22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333E231B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282B880F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36FF17F5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7B4E9751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5ACC4BC0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7D51A477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02834FC7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1FC3F6CB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73C8574C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152D55A8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A3EB396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71EB422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58A603FC">
      <w:pPr>
        <w:spacing w:before="60" w:after="0" w:line="360" w:lineRule="auto"/>
        <w:rPr>
          <w:rFonts w:ascii="宋体" w:hAnsi="宋体" w:eastAsia="宋体"/>
          <w:b/>
          <w:sz w:val="24"/>
        </w:rPr>
      </w:pPr>
    </w:p>
    <w:p w14:paraId="41453CAE">
      <w:pPr>
        <w:spacing w:before="60" w:after="0" w:line="360" w:lineRule="auto"/>
      </w:pPr>
      <w:r>
        <w:rPr>
          <w:rFonts w:ascii="宋体" w:hAnsi="宋体" w:eastAsia="宋体"/>
          <w:b/>
          <w:sz w:val="24"/>
        </w:rPr>
        <w:t>4.3 不同 PID 参数下的响应曲线</w:t>
      </w:r>
    </w:p>
    <w:p w14:paraId="3075AFE1">
      <w:pPr>
        <w:spacing w:before="60" w:after="0"/>
        <w:jc w:val="center"/>
      </w:pPr>
    </w:p>
    <w:p w14:paraId="4247E823">
      <w:pPr>
        <w:spacing w:before="60" w:after="0"/>
        <w:jc w:val="center"/>
      </w:pPr>
    </w:p>
    <w:p w14:paraId="44563D0E">
      <w:pPr>
        <w:spacing w:before="60" w:after="0"/>
        <w:jc w:val="center"/>
      </w:pPr>
    </w:p>
    <w:p w14:paraId="73083302">
      <w:pPr>
        <w:spacing w:before="60" w:after="0"/>
        <w:jc w:val="center"/>
      </w:pPr>
    </w:p>
    <w:p w14:paraId="04EDD99C">
      <w:pPr>
        <w:spacing w:before="60" w:after="0"/>
        <w:jc w:val="center"/>
      </w:pPr>
      <w:r>
        <w:drawing>
          <wp:inline distT="0" distB="0" distL="114300" distR="114300">
            <wp:extent cx="4937760" cy="3636010"/>
            <wp:effectExtent l="0" t="0" r="152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B87F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图7 较好的 PID 控制响应曲线（Kp=1，Ti=8，Td=1）</w:t>
      </w:r>
    </w:p>
    <w:p w14:paraId="7E64EF6B">
      <w:pPr>
        <w:spacing w:before="0" w:after="0" w:line="360" w:lineRule="auto"/>
      </w:pPr>
      <w:r>
        <w:rPr>
          <w:rFonts w:ascii="宋体" w:hAnsi="宋体" w:eastAsia="宋体"/>
          <w:sz w:val="24"/>
        </w:rPr>
        <w:t>（1）调整比例参数 Kp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135C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B912E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6D88D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4717E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81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534CA4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（a）Kp=0.5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BA7047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（b）Kp=1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58E0C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（c）Kp=3</w:t>
            </w:r>
          </w:p>
        </w:tc>
      </w:tr>
    </w:tbl>
    <w:p w14:paraId="20F4339F">
      <w:pPr>
        <w:spacing w:after="0" w:line="240" w:lineRule="auto"/>
      </w:pPr>
    </w:p>
    <w:p w14:paraId="3AD453A4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图8 调节 Kp 后的响应曲线</w:t>
      </w:r>
    </w:p>
    <w:p w14:paraId="56DCEB89">
      <w:pPr>
        <w:spacing w:before="0" w:after="0" w:line="360" w:lineRule="auto"/>
        <w:rPr>
          <w:rFonts w:ascii="宋体" w:hAnsi="宋体" w:eastAsia="宋体"/>
          <w:sz w:val="24"/>
        </w:rPr>
      </w:pPr>
    </w:p>
    <w:p w14:paraId="293F9A80">
      <w:pPr>
        <w:spacing w:before="0" w:after="0" w:line="360" w:lineRule="auto"/>
        <w:rPr>
          <w:rFonts w:ascii="宋体" w:hAnsi="宋体" w:eastAsia="宋体"/>
          <w:sz w:val="24"/>
        </w:rPr>
      </w:pPr>
    </w:p>
    <w:p w14:paraId="7029CDB0">
      <w:pPr>
        <w:spacing w:before="0" w:after="0" w:line="360" w:lineRule="auto"/>
        <w:rPr>
          <w:rFonts w:ascii="宋体" w:hAnsi="宋体" w:eastAsia="宋体"/>
          <w:sz w:val="24"/>
        </w:rPr>
      </w:pPr>
    </w:p>
    <w:p w14:paraId="7ADF860E">
      <w:pPr>
        <w:spacing w:before="0" w:after="0" w:line="360" w:lineRule="auto"/>
        <w:rPr>
          <w:rFonts w:ascii="宋体" w:hAnsi="宋体" w:eastAsia="宋体"/>
          <w:sz w:val="24"/>
        </w:rPr>
      </w:pPr>
    </w:p>
    <w:p w14:paraId="65784ACE">
      <w:pPr>
        <w:spacing w:before="0" w:after="0" w:line="360" w:lineRule="auto"/>
        <w:rPr>
          <w:rFonts w:ascii="宋体" w:hAnsi="宋体" w:eastAsia="宋体"/>
          <w:sz w:val="24"/>
        </w:rPr>
      </w:pPr>
    </w:p>
    <w:p w14:paraId="2FFD1A6C">
      <w:pPr>
        <w:spacing w:before="0" w:after="0" w:line="360" w:lineRule="auto"/>
      </w:pPr>
      <w:r>
        <w:rPr>
          <w:rFonts w:ascii="宋体" w:hAnsi="宋体" w:eastAsia="宋体"/>
          <w:sz w:val="24"/>
        </w:rPr>
        <w:t>（2）调整积分时间 Ti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25684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B9C18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90286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54B8B">
            <w:pPr>
              <w:spacing w:after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drawing>
                <wp:inline distT="0" distB="0" distL="114300" distR="114300">
                  <wp:extent cx="1764665" cy="1299845"/>
                  <wp:effectExtent l="0" t="0" r="6985" b="14605"/>
                  <wp:docPr id="1" name="图片 1" descr="PixPin_2026-05-19_19-14-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PixPin_2026-05-19_19-14-3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B7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47F5A3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（a）Ti=4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A0FB8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（b）Ti=8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73171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（c）Ti=10</w:t>
            </w:r>
          </w:p>
        </w:tc>
      </w:tr>
    </w:tbl>
    <w:p w14:paraId="01195CB2">
      <w:pPr>
        <w:spacing w:after="0" w:line="240" w:lineRule="auto"/>
      </w:pPr>
    </w:p>
    <w:p w14:paraId="2AED3D71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图9 调节 Ti 后的响应曲线</w:t>
      </w:r>
    </w:p>
    <w:p w14:paraId="141ADFC3">
      <w:pPr>
        <w:spacing w:before="0" w:after="0" w:line="360" w:lineRule="auto"/>
        <w:rPr>
          <w:rFonts w:ascii="宋体" w:hAnsi="宋体" w:eastAsia="宋体"/>
          <w:sz w:val="24"/>
        </w:rPr>
      </w:pPr>
    </w:p>
    <w:p w14:paraId="35A6BB9F">
      <w:pPr>
        <w:spacing w:before="0" w:after="0" w:line="360" w:lineRule="auto"/>
        <w:rPr>
          <w:rFonts w:ascii="宋体" w:hAnsi="宋体" w:eastAsia="宋体"/>
          <w:sz w:val="24"/>
        </w:rPr>
      </w:pPr>
    </w:p>
    <w:p w14:paraId="657CF693">
      <w:pPr>
        <w:spacing w:before="0" w:after="0" w:line="360" w:lineRule="auto"/>
        <w:rPr>
          <w:rFonts w:ascii="宋体" w:hAnsi="宋体" w:eastAsia="宋体"/>
          <w:sz w:val="24"/>
        </w:rPr>
      </w:pPr>
    </w:p>
    <w:p w14:paraId="3AE5D43C">
      <w:pPr>
        <w:spacing w:before="0" w:after="0" w:line="360" w:lineRule="auto"/>
        <w:rPr>
          <w:rFonts w:ascii="宋体" w:hAnsi="宋体" w:eastAsia="宋体"/>
          <w:sz w:val="24"/>
        </w:rPr>
      </w:pPr>
      <w:bookmarkStart w:id="0" w:name="_GoBack"/>
      <w:bookmarkEnd w:id="0"/>
    </w:p>
    <w:p w14:paraId="53FFDBC7">
      <w:pPr>
        <w:spacing w:before="0" w:after="0" w:line="360" w:lineRule="auto"/>
        <w:rPr>
          <w:rFonts w:ascii="宋体" w:hAnsi="宋体" w:eastAsia="宋体"/>
          <w:sz w:val="24"/>
        </w:rPr>
      </w:pPr>
    </w:p>
    <w:p w14:paraId="77C3AF7E">
      <w:pPr>
        <w:spacing w:before="0" w:after="0" w:line="360" w:lineRule="auto"/>
        <w:rPr>
          <w:rFonts w:ascii="宋体" w:hAnsi="宋体" w:eastAsia="宋体"/>
          <w:sz w:val="24"/>
        </w:rPr>
      </w:pPr>
    </w:p>
    <w:p w14:paraId="1ECFD0AE">
      <w:pPr>
        <w:spacing w:before="0" w:after="0" w:line="360" w:lineRule="auto"/>
        <w:rPr>
          <w:rFonts w:ascii="宋体" w:hAnsi="宋体" w:eastAsia="宋体"/>
          <w:sz w:val="24"/>
        </w:rPr>
      </w:pPr>
    </w:p>
    <w:p w14:paraId="2F4B51AF">
      <w:pPr>
        <w:spacing w:before="0" w:after="0" w:line="360" w:lineRule="auto"/>
      </w:pPr>
      <w:r>
        <w:rPr>
          <w:rFonts w:ascii="宋体" w:hAnsi="宋体" w:eastAsia="宋体"/>
          <w:sz w:val="24"/>
        </w:rPr>
        <w:t>（3）调整微分时间 Td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52AE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A4723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DE0A4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72EE1">
            <w:pPr>
              <w:spacing w:after="0"/>
              <w:jc w:val="center"/>
            </w:pPr>
            <w:r>
              <w:drawing>
                <wp:inline distT="0" distB="0" distL="114300" distR="114300">
                  <wp:extent cx="1764665" cy="1299210"/>
                  <wp:effectExtent l="0" t="0" r="6985" b="152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129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ADE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6EAA2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（a）Td=0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6F57A6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（b）Td=1</w:t>
            </w:r>
          </w:p>
        </w:tc>
        <w:tc>
          <w:tcPr>
            <w:tcW w:w="309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BB3A9E">
            <w:pPr>
              <w:spacing w:before="0" w:after="0"/>
              <w:jc w:val="center"/>
            </w:pPr>
            <w:r>
              <w:rPr>
                <w:rFonts w:ascii="宋体" w:hAnsi="宋体" w:eastAsia="宋体"/>
                <w:sz w:val="18"/>
              </w:rPr>
              <w:t>（c）Td=2</w:t>
            </w:r>
          </w:p>
        </w:tc>
      </w:tr>
    </w:tbl>
    <w:p w14:paraId="2D16B199">
      <w:pPr>
        <w:spacing w:after="0" w:line="240" w:lineRule="auto"/>
      </w:pPr>
    </w:p>
    <w:p w14:paraId="50875A3D">
      <w:pPr>
        <w:spacing w:before="60" w:after="120" w:line="288" w:lineRule="auto"/>
        <w:jc w:val="center"/>
      </w:pPr>
      <w:r>
        <w:rPr>
          <w:rFonts w:ascii="宋体" w:hAnsi="宋体" w:eastAsia="宋体"/>
          <w:sz w:val="20"/>
        </w:rPr>
        <w:t>图10 调节 Td 后的响应曲线</w:t>
      </w:r>
    </w:p>
    <w:p w14:paraId="18D6F2AE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5F41724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0BA342A6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1EE68A3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AD0654F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32EF7422">
      <w:pPr>
        <w:spacing w:before="120" w:after="0" w:line="360" w:lineRule="auto"/>
        <w:rPr>
          <w:rFonts w:ascii="宋体" w:hAnsi="宋体" w:eastAsia="宋体"/>
          <w:b/>
          <w:sz w:val="28"/>
        </w:rPr>
      </w:pPr>
    </w:p>
    <w:p w14:paraId="295A0FD1">
      <w:pPr>
        <w:spacing w:before="120" w:after="0" w:line="360" w:lineRule="auto"/>
      </w:pPr>
      <w:r>
        <w:rPr>
          <w:rFonts w:ascii="宋体" w:hAnsi="宋体" w:eastAsia="宋体"/>
          <w:b/>
          <w:sz w:val="28"/>
        </w:rPr>
        <w:t>五、心得体会</w:t>
      </w:r>
    </w:p>
    <w:p w14:paraId="752F6B9A">
      <w:pPr>
        <w:spacing w:before="0" w:after="0" w:line="360" w:lineRule="auto"/>
        <w:ind w:firstLine="418"/>
      </w:pPr>
    </w:p>
    <w:sectPr>
      <w:pgSz w:w="11906" w:h="16838"/>
      <w:pgMar w:top="1191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E034D"/>
    <w:rsid w:val="2EFDC4EB"/>
    <w:rsid w:val="4DAFD2CA"/>
    <w:rsid w:val="72FA446F"/>
    <w:rsid w:val="7DEDD317"/>
    <w:rsid w:val="DFEF113D"/>
    <w:rsid w:val="F7B7A281"/>
    <w:rsid w:val="FD77F332"/>
    <w:rsid w:val="FECD6BB5"/>
    <w:rsid w:val="FF3BD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qFormat/>
    <w:uiPriority w:val="0"/>
    <w:rPr>
      <w:sz w:val="21"/>
      <w:szCs w:val="21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南柯</cp:lastModifiedBy>
  <dcterms:modified xsi:type="dcterms:W3CDTF">2026-05-21T19:35:56Z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449FEB260FEB748DBB830E6AA8CD6268_42</vt:lpwstr>
  </property>
</Properties>
</file>