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CFCBA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实验三  单回路PID 控制器的设计</w:t>
      </w:r>
    </w:p>
    <w:p w14:paraId="2F586ACD"/>
    <w:p w14:paraId="6E05FE48"/>
    <w:p w14:paraId="76F8F8C1">
      <w:pPr>
        <w:rPr>
          <w:b/>
          <w:sz w:val="24"/>
        </w:rPr>
      </w:pPr>
      <w:r>
        <w:rPr>
          <w:rFonts w:hint="eastAsia"/>
          <w:b/>
          <w:sz w:val="24"/>
        </w:rPr>
        <w:t>一、实验目的</w:t>
      </w:r>
    </w:p>
    <w:p w14:paraId="486BF3D5">
      <w:r>
        <w:rPr>
          <w:rFonts w:hint="eastAsia"/>
        </w:rPr>
        <w:t xml:space="preserve">  1．深入理解PID控制原理。</w:t>
      </w:r>
    </w:p>
    <w:p w14:paraId="7076059F">
      <w:pPr>
        <w:ind w:firstLine="210" w:firstLineChars="100"/>
      </w:pPr>
      <w:r>
        <w:rPr>
          <w:rFonts w:hint="eastAsia"/>
        </w:rPr>
        <w:t>2．掌握对象离散化方法。</w:t>
      </w:r>
    </w:p>
    <w:p w14:paraId="7AC29D65">
      <w:pPr>
        <w:ind w:firstLine="210" w:firstLineChars="100"/>
      </w:pPr>
      <w:r>
        <w:rPr>
          <w:rFonts w:hint="eastAsia"/>
        </w:rPr>
        <w:t>3．掌握对象离散化和PID控制程序编写方法。</w:t>
      </w:r>
    </w:p>
    <w:p w14:paraId="67E47B98">
      <w:r>
        <w:rPr>
          <w:rFonts w:hint="eastAsia"/>
        </w:rPr>
        <w:t xml:space="preserve"> </w:t>
      </w:r>
      <w:r>
        <w:rPr>
          <w:rFonts w:hint="eastAsia"/>
          <w:b/>
          <w:sz w:val="24"/>
        </w:rPr>
        <w:t>二、实验原理</w:t>
      </w:r>
    </w:p>
    <w:p w14:paraId="43666F61">
      <w:r>
        <w:rPr>
          <w:rFonts w:hint="eastAsia"/>
        </w:rPr>
        <w:t>1．</w:t>
      </w:r>
      <w:r>
        <w:rPr>
          <w:rFonts w:hint="eastAsia"/>
          <w:sz w:val="24"/>
        </w:rPr>
        <w:t>控制系统如图所示</w:t>
      </w:r>
    </w:p>
    <w:p w14:paraId="4BCBAB10">
      <w:pPr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486400" cy="956310"/>
            <wp:effectExtent l="0" t="0" r="0" b="15240"/>
            <wp:docPr id="44" name="图片 1" descr="4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 descr="4m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61F2">
      <w:pPr>
        <w:jc w:val="center"/>
        <w:rPr>
          <w:szCs w:val="21"/>
        </w:rPr>
      </w:pPr>
      <w:r>
        <w:rPr>
          <w:rFonts w:hint="eastAsia"/>
          <w:szCs w:val="21"/>
        </w:rPr>
        <w:t>图1 PID控制框图</w:t>
      </w:r>
    </w:p>
    <w:p w14:paraId="28B078A7">
      <w:pPr>
        <w:rPr>
          <w:szCs w:val="21"/>
        </w:rPr>
      </w:pPr>
      <w:r>
        <w:rPr>
          <w:rFonts w:hint="eastAsia"/>
          <w:szCs w:val="21"/>
        </w:rPr>
        <w:t>其中D(z)为PID控制器，H(s)为零阶保持器，传递函数为</w:t>
      </w:r>
      <w:r>
        <w:rPr>
          <w:position w:val="-24"/>
          <w:sz w:val="24"/>
        </w:rPr>
        <w:object>
          <v:shape id="_x0000_i1025" o:spt="75" type="#_x0000_t75" style="height:33.3pt;width:74.0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15115C30">
      <w:pPr>
        <w:rPr>
          <w:sz w:val="24"/>
        </w:rPr>
      </w:pPr>
      <w:r>
        <w:rPr>
          <w:rFonts w:hint="eastAsia"/>
          <w:sz w:val="24"/>
        </w:rPr>
        <w:t>2. 离散化原理</w:t>
      </w:r>
    </w:p>
    <w:p w14:paraId="560A55C8">
      <w:pPr>
        <w:ind w:firstLine="480" w:firstLineChars="200"/>
        <w:rPr>
          <w:sz w:val="24"/>
        </w:rPr>
      </w:pPr>
      <w:r>
        <w:rPr>
          <w:rFonts w:hint="eastAsia"/>
          <w:sz w:val="24"/>
        </w:rPr>
        <w:t>（1）对象离散化</w:t>
      </w:r>
    </w:p>
    <w:p w14:paraId="6589CA46">
      <w:pPr>
        <w:ind w:firstLine="480" w:firstLineChars="200"/>
        <w:rPr>
          <w:sz w:val="24"/>
        </w:rPr>
      </w:pPr>
      <w:r>
        <w:rPr>
          <w:rFonts w:hint="eastAsia"/>
          <w:sz w:val="24"/>
        </w:rPr>
        <w:t>对象离散化是去掉控制器和反馈时，给定阶跃信号后的对象相应（被控制数）随时间变换的曲线，故对象离散化的结构框图如图2所示：</w:t>
      </w:r>
    </w:p>
    <w:p w14:paraId="7221B97E">
      <w:pPr>
        <w:jc w:val="center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3270885" cy="555625"/>
            <wp:effectExtent l="0" t="0" r="5715" b="158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FD5A">
      <w:pPr>
        <w:jc w:val="center"/>
        <w:rPr>
          <w:sz w:val="24"/>
        </w:rPr>
      </w:pPr>
      <w:r>
        <w:rPr>
          <w:rFonts w:hint="eastAsia"/>
          <w:sz w:val="24"/>
        </w:rPr>
        <w:t>图2 对象离散化时的系统结构</w:t>
      </w:r>
    </w:p>
    <w:p w14:paraId="366532CC">
      <w:pPr>
        <w:ind w:firstLine="480" w:firstLineChars="200"/>
        <w:rPr>
          <w:sz w:val="24"/>
        </w:rPr>
      </w:pPr>
      <w:r>
        <w:rPr>
          <w:rFonts w:hint="eastAsia"/>
          <w:sz w:val="24"/>
        </w:rPr>
        <w:t>一般工业工业对象可用一阶惯性环节和纯滞后环节串联近似，即</w:t>
      </w:r>
      <w:r>
        <w:rPr>
          <w:position w:val="-32"/>
          <w:sz w:val="24"/>
        </w:rPr>
        <w:object>
          <v:shape id="_x0000_i1026" o:spt="75" type="#_x0000_t75" style="height:36.7pt;width:8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4"/>
        </w:rPr>
        <w:t>，则对象离散化得到的脉冲传递函数为：</w:t>
      </w:r>
    </w:p>
    <w:p w14:paraId="635A926D">
      <w:pPr>
        <w:ind w:firstLine="480" w:firstLineChars="200"/>
        <w:rPr>
          <w:sz w:val="24"/>
        </w:rPr>
      </w:pPr>
      <w:r>
        <w:rPr>
          <w:position w:val="-106"/>
          <w:sz w:val="24"/>
        </w:rPr>
        <w:object>
          <v:shape id="_x0000_i1027" o:spt="75" type="#_x0000_t75" style="height:112.1pt;width:408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bookmarkStart w:id="0" w:name="_GoBack"/>
      <w:bookmarkEnd w:id="0"/>
      <w:r>
        <w:rPr>
          <w:rFonts w:hint="eastAsia"/>
          <w:sz w:val="24"/>
        </w:rPr>
        <w:t>递推算法为：</w:t>
      </w:r>
    </w:p>
    <w:p w14:paraId="24B04308">
      <w:pPr>
        <w:ind w:firstLine="480" w:firstLineChars="200"/>
        <w:jc w:val="right"/>
        <w:rPr>
          <w:sz w:val="24"/>
        </w:rPr>
      </w:pPr>
      <w:r>
        <w:rPr>
          <w:position w:val="-14"/>
          <w:sz w:val="24"/>
        </w:rPr>
        <w:object>
          <v:shape id="_x0000_i1028" o:spt="75" type="#_x0000_t75" style="height:31.25pt;width:342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/>
          <w:sz w:val="24"/>
        </w:rPr>
        <w:t xml:space="preserve">    (1)</w:t>
      </w:r>
    </w:p>
    <w:p w14:paraId="19083ECF">
      <w:pPr>
        <w:ind w:firstLine="480" w:firstLineChars="200"/>
        <w:rPr>
          <w:sz w:val="24"/>
        </w:rPr>
      </w:pPr>
      <w:r>
        <w:rPr>
          <w:rFonts w:hint="eastAsia"/>
          <w:sz w:val="24"/>
        </w:rPr>
        <w:t>其中：</w:t>
      </w:r>
    </w:p>
    <w:p w14:paraId="6C5E47D0">
      <w:pPr>
        <w:ind w:firstLine="480" w:firstLineChars="200"/>
        <w:jc w:val="right"/>
        <w:rPr>
          <w:sz w:val="24"/>
        </w:rPr>
      </w:pPr>
      <w:r>
        <w:rPr>
          <w:position w:val="-14"/>
          <w:sz w:val="24"/>
        </w:rPr>
        <w:object>
          <v:shape id="_x0000_i1029" o:spt="75" type="#_x0000_t75" style="height:31.25pt;width:169.1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/>
          <w:sz w:val="24"/>
        </w:rPr>
        <w:t xml:space="preserve">                         (2)</w:t>
      </w:r>
    </w:p>
    <w:p w14:paraId="77F5F4BD">
      <w:pPr>
        <w:ind w:firstLine="480" w:firstLineChars="200"/>
        <w:rPr>
          <w:sz w:val="24"/>
        </w:rPr>
      </w:pPr>
      <w:r>
        <w:rPr>
          <w:sz w:val="24"/>
        </w:rPr>
        <w:t>T为采样周期，控制量为设定值</w:t>
      </w:r>
      <w:r>
        <w:rPr>
          <w:rFonts w:hint="eastAsia"/>
          <w:i/>
          <w:sz w:val="24"/>
        </w:rPr>
        <w:t>r</w:t>
      </w:r>
      <w:r>
        <w:rPr>
          <w:rFonts w:hint="eastAsia"/>
          <w:sz w:val="24"/>
        </w:rPr>
        <w:t>。</w:t>
      </w:r>
    </w:p>
    <w:p w14:paraId="31BAF25E">
      <w:pPr>
        <w:ind w:firstLine="480" w:firstLineChars="200"/>
        <w:rPr>
          <w:sz w:val="24"/>
        </w:rPr>
      </w:pPr>
      <w:r>
        <w:rPr>
          <w:rFonts w:hint="eastAsia"/>
          <w:sz w:val="24"/>
        </w:rPr>
        <w:t>（2）PID控制</w:t>
      </w:r>
    </w:p>
    <w:p w14:paraId="6BF0D5CA">
      <w:pPr>
        <w:ind w:firstLine="480" w:firstLineChars="200"/>
        <w:rPr>
          <w:sz w:val="24"/>
        </w:rPr>
      </w:pPr>
      <w:r>
        <w:rPr>
          <w:rFonts w:hint="eastAsia"/>
          <w:sz w:val="24"/>
        </w:rPr>
        <w:t>PID控制器的传递函数为：</w:t>
      </w:r>
      <w:r>
        <w:rPr>
          <w:position w:val="-30"/>
          <w:sz w:val="24"/>
        </w:rPr>
        <w:object>
          <v:shape id="_x0000_i1030" o:spt="75" type="#_x0000_t75" style="height:33.95pt;width:120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4"/>
        </w:rPr>
        <w:t>，离散化为递推控制算法为：</w:t>
      </w:r>
      <w:r>
        <w:rPr>
          <w:rFonts w:hint="eastAsia"/>
          <w:sz w:val="24"/>
        </w:rPr>
        <w:t xml:space="preserve"> </w:t>
      </w:r>
    </w:p>
    <w:p w14:paraId="114697D4">
      <w:pPr>
        <w:ind w:firstLine="480" w:firstLineChars="200"/>
        <w:jc w:val="right"/>
        <w:rPr>
          <w:sz w:val="24"/>
        </w:rPr>
      </w:pPr>
      <w:r>
        <w:rPr>
          <w:position w:val="-12"/>
          <w:sz w:val="24"/>
        </w:rPr>
        <w:object>
          <v:shape id="_x0000_i1031" o:spt="75" type="#_x0000_t75" style="height:18.35pt;width:321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/>
          <w:sz w:val="24"/>
        </w:rPr>
        <w:t xml:space="preserve">   (3)</w:t>
      </w:r>
    </w:p>
    <w:p w14:paraId="5C3B53CA">
      <w:pPr>
        <w:ind w:firstLine="480" w:firstLineChars="200"/>
        <w:rPr>
          <w:sz w:val="24"/>
        </w:rPr>
      </w:pPr>
      <w:r>
        <w:rPr>
          <w:rFonts w:hint="eastAsia"/>
          <w:sz w:val="24"/>
        </w:rPr>
        <w:t>其中</w:t>
      </w:r>
    </w:p>
    <w:p w14:paraId="6B0A59ED">
      <w:pPr>
        <w:ind w:firstLine="480" w:firstLineChars="200"/>
        <w:jc w:val="right"/>
        <w:rPr>
          <w:sz w:val="24"/>
        </w:rPr>
      </w:pPr>
      <w:r>
        <w:rPr>
          <w:position w:val="-98"/>
          <w:sz w:val="24"/>
        </w:rPr>
        <w:object>
          <v:shape id="_x0000_i1032" o:spt="75" type="#_x0000_t75" style="height:103.9pt;width:107.3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/>
          <w:sz w:val="24"/>
        </w:rPr>
        <w:t xml:space="preserve">                                       (4)</w:t>
      </w:r>
    </w:p>
    <w:p w14:paraId="0728C85F">
      <w:pPr>
        <w:ind w:firstLine="480" w:firstLineChars="200"/>
      </w:pPr>
      <w:r>
        <w:rPr>
          <w:rFonts w:hint="eastAsia"/>
          <w:sz w:val="24"/>
        </w:rPr>
        <w:t>式中</w:t>
      </w:r>
      <w:r>
        <w:rPr>
          <w:position w:val="-14"/>
          <w:sz w:val="24"/>
        </w:rPr>
        <w:object>
          <v:shape id="_x0000_i1033" o:spt="75" type="#_x0000_t75" style="height:19pt;width:1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4"/>
        </w:rPr>
        <w:t>为比例增益，</w:t>
      </w:r>
      <w:r>
        <w:rPr>
          <w:position w:val="-12"/>
          <w:sz w:val="24"/>
        </w:rPr>
        <w:object>
          <v:shape id="_x0000_i1034" o:spt="75" type="#_x0000_t75" style="height:18.35pt;width:12.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 w:val="24"/>
        </w:rPr>
        <w:t>为积分时间，</w:t>
      </w:r>
      <w:r>
        <w:rPr>
          <w:position w:val="-12"/>
          <w:sz w:val="24"/>
        </w:rPr>
        <w:object>
          <v:shape id="_x0000_i1035" o:spt="75" type="#_x0000_t75" style="height:18.35pt;width:14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4"/>
        </w:rPr>
        <w:t>为微分时间，</w:t>
      </w:r>
      <w:r>
        <w:t xml:space="preserve"> </w:t>
      </w:r>
    </w:p>
    <w:p w14:paraId="72BE70CC">
      <w:pPr>
        <w:spacing w:before="120" w:after="0" w:line="360" w:lineRule="auto"/>
      </w:pPr>
      <w:r>
        <w:rPr>
          <w:rFonts w:ascii="宋体" w:hAnsi="宋体" w:eastAsia="宋体"/>
          <w:b/>
          <w:sz w:val="28"/>
        </w:rPr>
        <w:t>四、实验结果及分析</w:t>
      </w:r>
    </w:p>
    <w:p w14:paraId="6403CAA8">
      <w:pPr>
        <w:spacing w:before="60" w:after="0" w:line="360" w:lineRule="auto"/>
      </w:pPr>
      <w:r>
        <w:rPr>
          <w:rFonts w:ascii="宋体" w:hAnsi="宋体" w:eastAsia="宋体"/>
          <w:b/>
          <w:sz w:val="24"/>
        </w:rPr>
        <w:t>4.1 程序主界面设计</w:t>
      </w:r>
    </w:p>
    <w:p w14:paraId="0725BD25">
      <w:pPr>
        <w:spacing w:before="60" w:after="0"/>
        <w:jc w:val="center"/>
      </w:pPr>
      <w:r>
        <w:drawing>
          <wp:inline distT="0" distB="0" distL="114300" distR="114300">
            <wp:extent cx="5166360" cy="3804285"/>
            <wp:effectExtent l="0" t="0" r="152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965C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图5 对象离散化和 PID 控制程序主界面图</w:t>
      </w:r>
    </w:p>
    <w:p w14:paraId="662E0051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如图5所示，程序主界面由左侧响应曲线绘图区和右侧参数输入区组成。右侧参数区包括设定目标值、采样周期、对象时间常数、对象比例系数、滞后时间常数、PID 参数以及仿真时间。输入参数后，单击“对象离散化”按钮可绘制对象离散化响应曲线，单击“PID控制”按钮可绘制闭环 PID 控制响应曲线。</w:t>
      </w:r>
    </w:p>
    <w:p w14:paraId="4624EE9D">
      <w:pPr>
        <w:spacing w:before="60" w:after="0" w:line="360" w:lineRule="auto"/>
      </w:pPr>
      <w:r>
        <w:rPr>
          <w:rFonts w:ascii="宋体" w:hAnsi="宋体" w:eastAsia="宋体"/>
          <w:b/>
          <w:sz w:val="24"/>
        </w:rPr>
        <w:t>4.2 对象离散化曲线</w:t>
      </w:r>
    </w:p>
    <w:p w14:paraId="6A422709">
      <w:pPr>
        <w:spacing w:before="60" w:after="0"/>
        <w:jc w:val="center"/>
      </w:pPr>
      <w:r>
        <w:drawing>
          <wp:inline distT="0" distB="0" distL="114300" distR="114300">
            <wp:extent cx="5166360" cy="3797935"/>
            <wp:effectExtent l="0" t="0" r="152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79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74D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图6 对象离散化响应曲线</w:t>
      </w:r>
    </w:p>
    <w:p w14:paraId="3A3A18D9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对象离散化实验采用设定目标值 r=1、采样周期 T=1s、对象时间常数 Tf=10s、对象比例系数 Kf=1、滞后时间常数 τ=4s、仿真时间 150s。由图6可以看出，输出曲线在开始阶段存在明显滞后，随后按一阶惯性特性逐渐上升并趋近于设定值。该结果表明程序能够反映被控对象的纯滞后特性和惯性响应特性。</w:t>
      </w:r>
    </w:p>
    <w:p w14:paraId="41453CAE">
      <w:pPr>
        <w:spacing w:before="60" w:after="0" w:line="360" w:lineRule="auto"/>
      </w:pPr>
      <w:r>
        <w:rPr>
          <w:rFonts w:ascii="宋体" w:hAnsi="宋体" w:eastAsia="宋体"/>
          <w:b/>
          <w:sz w:val="24"/>
        </w:rPr>
        <w:t>4.3 不同 PID 参数下的响应曲线</w:t>
      </w:r>
    </w:p>
    <w:p w14:paraId="4FDA0C0E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实验中针对 Kp、Ti、Td 三个 PID 参数分别进行对比。首先通过试凑法选取一组综合性能较好的参数：Kp=1、Ti=8、Td=1。其响应曲线如图7所示，系统上升速度较快，只有较小超调，随后能够较平稳地收敛到设定目标值附近。</w:t>
      </w:r>
    </w:p>
    <w:p w14:paraId="04EDD99C">
      <w:pPr>
        <w:spacing w:before="60" w:after="0"/>
        <w:jc w:val="center"/>
      </w:pPr>
      <w:r>
        <w:drawing>
          <wp:inline distT="0" distB="0" distL="114300" distR="114300">
            <wp:extent cx="4937760" cy="3636010"/>
            <wp:effectExtent l="0" t="0" r="152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B87F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图7 较好的 PID 控制响应曲线（Kp=1，Ti=8，Td=1）</w:t>
      </w:r>
    </w:p>
    <w:p w14:paraId="7E64EF6B">
      <w:pPr>
        <w:spacing w:before="0" w:after="0" w:line="360" w:lineRule="auto"/>
      </w:pPr>
      <w:r>
        <w:rPr>
          <w:rFonts w:ascii="宋体" w:hAnsi="宋体" w:eastAsia="宋体"/>
          <w:sz w:val="24"/>
        </w:rPr>
        <w:t>（1）调整比例参数 Kp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135C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B912E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6D88D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4717E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81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534CA4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（a）Kp=0.5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BA7047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（b）Kp=1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58E0C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（c）Kp=3</w:t>
            </w:r>
          </w:p>
        </w:tc>
      </w:tr>
    </w:tbl>
    <w:p w14:paraId="20F4339F">
      <w:pPr>
        <w:spacing w:after="0" w:line="240" w:lineRule="auto"/>
      </w:pPr>
    </w:p>
    <w:p w14:paraId="3AD453A4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图8 调节 Kp 后的响应曲线</w:t>
      </w:r>
    </w:p>
    <w:p w14:paraId="2E40F0B6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调节 Kp 后的响应曲线如图8所示。在 Ti=8、Td=1 保持不变时，减小 Kp 会使系统控制作用减弱，曲线上升速度变慢，但响应更平稳；Kp=1 时系统超调较小，收敛较快；增大 Kp 到 3 后，系统响应速度明显加快，但超调和振荡也明显增强。说明比例环节能够提高响应速度，但 Kp 过大会降低系统稳定性。</w:t>
      </w:r>
    </w:p>
    <w:p w14:paraId="2FFD1A6C">
      <w:pPr>
        <w:spacing w:before="0" w:after="0" w:line="360" w:lineRule="auto"/>
      </w:pPr>
      <w:r>
        <w:rPr>
          <w:rFonts w:ascii="宋体" w:hAnsi="宋体" w:eastAsia="宋体"/>
          <w:sz w:val="24"/>
        </w:rPr>
        <w:t>（2）调整积分时间 Ti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25684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B9C18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90286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54B8B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2B7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47F5A3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（a）Ti=4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A0FB8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（b）Ti=8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73171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（c）Ti=10</w:t>
            </w:r>
          </w:p>
        </w:tc>
      </w:tr>
    </w:tbl>
    <w:p w14:paraId="01195CB2">
      <w:pPr>
        <w:spacing w:after="0" w:line="240" w:lineRule="auto"/>
      </w:pPr>
    </w:p>
    <w:p w14:paraId="2AED3D71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图9 调节 Ti 后的响应曲线</w:t>
      </w:r>
    </w:p>
    <w:p w14:paraId="643D2355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调节 Ti 后的响应曲线如图9所示。在 Kp=1、Td=1 保持不变时，由于 Ti 位于积分项分母中，Ti 越小积分作用越强，Ti 越大积分作用越弱。Ti=4 时积分作用较强，系统超调较大并出现衰减振荡；Ti=8 时曲线较为平稳，能够较快消除误差；Ti=10 时积分作用减弱，响应更加平缓，但接近设定值的速度变慢。说明积分环节能够消除稳态误差，但积分作用过强容易引起超调和振荡。</w:t>
      </w:r>
    </w:p>
    <w:p w14:paraId="2F4B51AF">
      <w:pPr>
        <w:spacing w:before="0" w:after="0" w:line="360" w:lineRule="auto"/>
      </w:pPr>
      <w:r>
        <w:rPr>
          <w:rFonts w:ascii="宋体" w:hAnsi="宋体" w:eastAsia="宋体"/>
          <w:sz w:val="24"/>
        </w:rPr>
        <w:t>（3）调整微分时间 Td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52AE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A4723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DE0A4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72EE1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ADE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46EAA2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（a）Td=0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6F57A6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（b）Td=1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BB3A9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（c）Td=2</w:t>
            </w:r>
          </w:p>
        </w:tc>
      </w:tr>
    </w:tbl>
    <w:p w14:paraId="2D16B199">
      <w:pPr>
        <w:spacing w:after="0" w:line="240" w:lineRule="auto"/>
      </w:pPr>
    </w:p>
    <w:p w14:paraId="50875A3D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图10 调节 Td 后的响应曲线</w:t>
      </w:r>
    </w:p>
    <w:p w14:paraId="45DC5AB4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调节 Td 后的响应曲线如图10所示。在 Kp=1、Ti=8 保持不变时，Td=0 表示没有微分作用，曲线存在一定超调；Td=1 时微分作用可以对误差变化趋势进行提前修正，超调得到抑制，系统收敛较快；Td=2 时系统仍能趋于稳定，但相比 Td=1 综合效果并没有明显改善。说明微分环节可以改善动态性能、抑制超调，但 Td 也需要适中，过大的微分作用可能带来额外振荡或使系统响应变差。</w:t>
      </w:r>
    </w:p>
    <w:p w14:paraId="42AE9541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综合上述结果可知，PID 参数整定需要同时考虑快速性、稳定性和准确性。Kp 主要影响响应速度和控制强度，Ti 主要影响稳态误差消除速度，Td 主要影响超调抑制和动态稳定性。本实验中 Kp=1、Ti=8、Td=1 的综合控制效果较好。</w:t>
      </w:r>
    </w:p>
    <w:p w14:paraId="295A0FD1">
      <w:pPr>
        <w:spacing w:before="120" w:after="0" w:line="360" w:lineRule="auto"/>
      </w:pPr>
      <w:r>
        <w:rPr>
          <w:rFonts w:ascii="宋体" w:hAnsi="宋体" w:eastAsia="宋体"/>
          <w:b/>
          <w:sz w:val="28"/>
        </w:rPr>
        <w:t>五、心得体会</w:t>
      </w:r>
    </w:p>
    <w:p w14:paraId="60F980FA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通过本次单回路 PID 控制器设计实验，我进一步理解了对象离散化与 PID 控制之间的关系。对象离散化用于把连续被控对象转化为按采样周期递推计算的模型，PID 控制则根据设定值与输出值之间的偏差不断修正控制量，使系统输出逐渐接近目标值。</w:t>
      </w:r>
    </w:p>
    <w:p w14:paraId="059AF928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在分析不同参数下的响应曲线时，我更加直观地认识到 P、I、D 三个环节的作用。比例环节可以提高响应速度，但过大会导致超调和振荡；积分环节可以消除稳态误差，但积分作用过强会使系统稳定性变差；微分环节可以提前反映误差变化趋势，对抑制超调和改善动态性能有帮助。</w:t>
      </w:r>
    </w:p>
    <w:p w14:paraId="752F6B9A">
      <w:pPr>
        <w:spacing w:before="0" w:after="0" w:line="360" w:lineRule="auto"/>
        <w:ind w:firstLine="418"/>
      </w:pPr>
      <w:r>
        <w:rPr>
          <w:rFonts w:ascii="宋体" w:hAnsi="宋体" w:eastAsia="宋体"/>
          <w:sz w:val="24"/>
        </w:rPr>
        <w:t>本次实验也说明，PID 参数整定不是单独增大或减小某一个参数，而是在快速性、稳定性和准确性之间寻找合适平衡。以后在进行控制系统设计时，需要结合实际响应曲线分析参数变化带来的影响，再选择较合理的控制器参数。</w:t>
      </w:r>
    </w:p>
    <w:sectPr>
      <w:pgSz w:w="11906" w:h="16838"/>
      <w:pgMar w:top="1191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DE034D"/>
    <w:rsid w:val="FF3BD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qFormat/>
    <w:uiPriority w:val="0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annotation reference"/>
    <w:basedOn w:val="133"/>
    <w:qFormat/>
    <w:uiPriority w:val="0"/>
    <w:rPr>
      <w:sz w:val="21"/>
      <w:szCs w:val="21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1.wmf"/><Relationship Id="rId24" Type="http://schemas.openxmlformats.org/officeDocument/2006/relationships/oleObject" Target="embeddings/oleObject9.bin"/><Relationship Id="rId23" Type="http://schemas.openxmlformats.org/officeDocument/2006/relationships/image" Target="media/image10.wmf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Relationship Id="rId17" Type="http://schemas.openxmlformats.org/officeDocument/2006/relationships/image" Target="media/image7.wmf"/><Relationship Id="rId16" Type="http://schemas.openxmlformats.org/officeDocument/2006/relationships/oleObject" Target="embeddings/oleObject5.bin"/><Relationship Id="rId15" Type="http://schemas.openxmlformats.org/officeDocument/2006/relationships/image" Target="media/image6.wmf"/><Relationship Id="rId14" Type="http://schemas.openxmlformats.org/officeDocument/2006/relationships/oleObject" Target="embeddings/oleObject4.bin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南柯</cp:lastModifiedBy>
  <dcterms:modified xsi:type="dcterms:W3CDTF">2026-05-21T13:05:07Z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449FEB260FEB748DBB830E6AA8CD6268_42</vt:lpwstr>
  </property>
</Properties>
</file>