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C85490">
      <w:pPr>
        <w:spacing w:after="360"/>
        <w:jc w:val="center"/>
      </w:pPr>
      <w:r>
        <w:rPr>
          <w:rFonts w:ascii="黑体" w:hAnsi="黑体" w:eastAsia="黑体"/>
          <w:b/>
          <w:sz w:val="32"/>
        </w:rPr>
        <w:t>实验二  圆弧插补程序设计</w:t>
      </w:r>
    </w:p>
    <w:p w14:paraId="2A582E38">
      <w:pPr>
        <w:spacing w:before="240" w:after="160"/>
      </w:pPr>
      <w:r>
        <w:rPr>
          <w:rFonts w:ascii="黑体" w:hAnsi="黑体" w:eastAsia="黑体"/>
          <w:b/>
          <w:sz w:val="28"/>
        </w:rPr>
        <w:t>一、实验目的</w:t>
      </w:r>
    </w:p>
    <w:p w14:paraId="678F0D0F">
      <w:pPr>
        <w:spacing w:after="40" w:line="360" w:lineRule="auto"/>
      </w:pPr>
      <w:r>
        <w:rPr>
          <w:rFonts w:ascii="宋体" w:hAnsi="宋体" w:eastAsia="宋体"/>
          <w:sz w:val="24"/>
        </w:rPr>
        <w:t>1. 深入理解和掌握圆弧插补的基本原理、偏差判别方法和坐标进给步骤。</w:t>
      </w:r>
    </w:p>
    <w:p w14:paraId="7F50391B">
      <w:pPr>
        <w:spacing w:after="40" w:line="360" w:lineRule="auto"/>
      </w:pPr>
      <w:r>
        <w:rPr>
          <w:rFonts w:ascii="宋体" w:hAnsi="宋体" w:eastAsia="宋体"/>
          <w:sz w:val="24"/>
        </w:rPr>
        <w:t>2. 通过编写圆弧插补模拟程序，掌握圆弧插补程序的设计流程、实现步骤和实验结果分析方法。</w:t>
      </w:r>
    </w:p>
    <w:p w14:paraId="59A892FF">
      <w:pPr>
        <w:spacing w:before="240" w:after="160"/>
      </w:pPr>
      <w:r>
        <w:rPr>
          <w:rFonts w:ascii="黑体" w:hAnsi="黑体" w:eastAsia="黑体"/>
          <w:b/>
          <w:sz w:val="28"/>
        </w:rPr>
        <w:t>二、实验原理</w:t>
      </w:r>
    </w:p>
    <w:p w14:paraId="09287BD2">
      <w:pPr>
        <w:spacing w:after="80" w:line="360" w:lineRule="auto"/>
        <w:ind w:firstLine="420"/>
        <w:jc w:val="both"/>
      </w:pPr>
      <w:r>
        <w:rPr>
          <w:rFonts w:ascii="宋体" w:hAnsi="宋体" w:eastAsia="宋体"/>
          <w:sz w:val="24"/>
        </w:rPr>
        <w:t>本实验采用逐点比较法实现圆弧插补。逐点比较法的基本思想是：每走一步都对当前点与理论圆弧之间的偏差进行判断，再根据偏差符号选择下一步的进给方向，使插补点不断逼近给定圆弧。</w:t>
      </w:r>
    </w:p>
    <w:p w14:paraId="4EDCF933">
      <w:pPr>
        <w:spacing w:after="80" w:line="360" w:lineRule="auto"/>
        <w:ind w:firstLine="420"/>
        <w:jc w:val="both"/>
      </w:pPr>
      <w:r>
        <w:rPr>
          <w:rFonts w:ascii="宋体" w:hAnsi="宋体" w:eastAsia="宋体"/>
          <w:sz w:val="24"/>
        </w:rPr>
        <w:t>圆心取在坐标原点时，偏差判别式可写为 Fm = xm² + ym² - R²。若 Fm ≥ 0，说明当前点位于圆弧外侧或圆弧上；若 Fm &lt; 0，说明当前点位于圆弧内侧。程序根据当前圆弧所在象限、顺圆或逆圆方向以及 Fm 的符号，确定下一步沿 X 方向或 Y 方向进给。</w:t>
      </w:r>
    </w:p>
    <w:p w14:paraId="54302943">
      <w:pPr>
        <w:spacing w:after="80" w:line="360" w:lineRule="auto"/>
        <w:ind w:firstLine="420"/>
        <w:jc w:val="both"/>
      </w:pPr>
      <w:r>
        <w:rPr>
          <w:rFonts w:ascii="宋体" w:hAnsi="宋体" w:eastAsia="宋体"/>
          <w:sz w:val="24"/>
        </w:rPr>
        <w:t>每完成一次进给，需要同步完成偏差计算、坐标更新和终点判断。终点判断采用计数器 Nxy = |xe - x0| + |ye - y0|，每进给一次坐标，Nxy 减 1。当 Nxy = 0 时，圆弧插补过程结束。采用表中公式计算时，x0、y0、xm、ym 均按绝对值处理。</w:t>
      </w:r>
    </w:p>
    <w:p w14:paraId="7B02192B">
      <w:pPr>
        <w:spacing w:before="80" w:after="120"/>
        <w:jc w:val="center"/>
      </w:pPr>
      <w:r>
        <w:rPr>
          <w:rFonts w:ascii="宋体" w:hAnsi="宋体" w:eastAsia="宋体"/>
          <w:sz w:val="21"/>
        </w:rPr>
        <w:t>表1 四象限八种圆弧插补坐标运算公式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1247"/>
        <w:gridCol w:w="907"/>
        <w:gridCol w:w="2608"/>
        <w:gridCol w:w="2721"/>
      </w:tblGrid>
      <w:tr w14:paraId="05929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6F24920F">
            <w:pPr>
              <w:spacing w:after="0" w:line="240" w:lineRule="auto"/>
              <w:jc w:val="center"/>
            </w:pPr>
            <w:r>
              <w:rPr>
                <w:rFonts w:ascii="宋体" w:hAnsi="宋体" w:eastAsia="宋体"/>
                <w:b/>
                <w:sz w:val="19"/>
              </w:rPr>
              <w:t>偏差</w:t>
            </w:r>
          </w:p>
        </w:tc>
        <w:tc>
          <w:tcPr>
            <w:tcW w:w="1247" w:type="dxa"/>
            <w:vAlign w:val="center"/>
          </w:tcPr>
          <w:p w14:paraId="33C6829A">
            <w:pPr>
              <w:spacing w:after="0" w:line="240" w:lineRule="auto"/>
              <w:jc w:val="center"/>
            </w:pPr>
            <w:r>
              <w:rPr>
                <w:rFonts w:ascii="宋体" w:hAnsi="宋体" w:eastAsia="宋体"/>
                <w:b/>
                <w:sz w:val="19"/>
              </w:rPr>
              <w:t>圆弧种类</w:t>
            </w:r>
          </w:p>
        </w:tc>
        <w:tc>
          <w:tcPr>
            <w:tcW w:w="907" w:type="dxa"/>
            <w:vAlign w:val="center"/>
          </w:tcPr>
          <w:p w14:paraId="2CAA5E1A">
            <w:pPr>
              <w:spacing w:after="0" w:line="240" w:lineRule="auto"/>
              <w:jc w:val="center"/>
            </w:pPr>
            <w:r>
              <w:rPr>
                <w:rFonts w:ascii="宋体" w:hAnsi="宋体" w:eastAsia="宋体"/>
                <w:b/>
                <w:sz w:val="19"/>
              </w:rPr>
              <w:t>进给方向</w:t>
            </w:r>
          </w:p>
        </w:tc>
        <w:tc>
          <w:tcPr>
            <w:tcW w:w="2608" w:type="dxa"/>
            <w:vAlign w:val="center"/>
          </w:tcPr>
          <w:p w14:paraId="36092F88">
            <w:pPr>
              <w:spacing w:after="0" w:line="240" w:lineRule="auto"/>
              <w:jc w:val="center"/>
            </w:pPr>
            <w:r>
              <w:rPr>
                <w:rFonts w:ascii="宋体" w:hAnsi="宋体" w:eastAsia="宋体"/>
                <w:b/>
                <w:sz w:val="19"/>
              </w:rPr>
              <w:t>偏差计算</w:t>
            </w:r>
          </w:p>
        </w:tc>
        <w:tc>
          <w:tcPr>
            <w:tcW w:w="2721" w:type="dxa"/>
            <w:vAlign w:val="center"/>
          </w:tcPr>
          <w:p w14:paraId="3CC0B6AD">
            <w:pPr>
              <w:spacing w:after="0" w:line="240" w:lineRule="auto"/>
              <w:jc w:val="center"/>
            </w:pPr>
            <w:r>
              <w:rPr>
                <w:rFonts w:ascii="宋体" w:hAnsi="宋体" w:eastAsia="宋体"/>
                <w:b/>
                <w:sz w:val="19"/>
              </w:rPr>
              <w:t>坐标计算</w:t>
            </w:r>
          </w:p>
        </w:tc>
      </w:tr>
      <w:tr w14:paraId="2C2AD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6826F45A">
            <w:pPr>
              <w:spacing w:after="0" w:line="240" w:lineRule="auto"/>
              <w:jc w:val="center"/>
            </w:pPr>
            <w:r>
              <w:rPr>
                <w:rFonts w:ascii="宋体" w:hAnsi="宋体" w:eastAsia="宋体"/>
                <w:b w:val="0"/>
                <w:sz w:val="18"/>
              </w:rPr>
              <w:t>Fm ≥ 0</w:t>
            </w:r>
          </w:p>
        </w:tc>
        <w:tc>
          <w:tcPr>
            <w:tcW w:w="1247" w:type="dxa"/>
            <w:vAlign w:val="center"/>
          </w:tcPr>
          <w:p w14:paraId="00CD67A7">
            <w:pPr>
              <w:spacing w:after="0" w:line="240" w:lineRule="auto"/>
              <w:jc w:val="center"/>
            </w:pPr>
            <w:r>
              <w:rPr>
                <w:rFonts w:ascii="宋体" w:hAnsi="宋体" w:eastAsia="宋体"/>
                <w:b w:val="0"/>
                <w:sz w:val="18"/>
              </w:rPr>
              <w:t>SR1，NR2</w:t>
            </w:r>
          </w:p>
        </w:tc>
        <w:tc>
          <w:tcPr>
            <w:tcW w:w="907" w:type="dxa"/>
            <w:vAlign w:val="center"/>
          </w:tcPr>
          <w:p w14:paraId="0B1E59CB">
            <w:pPr>
              <w:spacing w:after="0" w:line="240" w:lineRule="auto"/>
              <w:jc w:val="center"/>
            </w:pPr>
            <w:r>
              <w:rPr>
                <w:rFonts w:ascii="宋体" w:hAnsi="宋体" w:eastAsia="宋体"/>
                <w:b w:val="0"/>
                <w:sz w:val="18"/>
              </w:rPr>
              <w:t>-Y</w:t>
            </w:r>
          </w:p>
        </w:tc>
        <w:tc>
          <w:tcPr>
            <w:tcW w:w="2608" w:type="dxa"/>
            <w:vAlign w:val="center"/>
          </w:tcPr>
          <w:p w14:paraId="1C029FB8">
            <w:pPr>
              <w:spacing w:after="0" w:line="240" w:lineRule="auto"/>
              <w:jc w:val="center"/>
            </w:pPr>
            <w:r>
              <w:rPr>
                <w:rFonts w:ascii="宋体" w:hAnsi="宋体" w:eastAsia="宋体"/>
                <w:b w:val="0"/>
                <w:sz w:val="18"/>
              </w:rPr>
              <w:t>Fm+1 = Fm - 2ym + 1</w:t>
            </w:r>
          </w:p>
        </w:tc>
        <w:tc>
          <w:tcPr>
            <w:tcW w:w="2721" w:type="dxa"/>
            <w:vAlign w:val="center"/>
          </w:tcPr>
          <w:p w14:paraId="01CA9D95">
            <w:pPr>
              <w:spacing w:after="0" w:line="240" w:lineRule="auto"/>
              <w:jc w:val="center"/>
            </w:pPr>
            <w:r>
              <w:rPr>
                <w:rFonts w:ascii="宋体" w:hAnsi="宋体" w:eastAsia="宋体"/>
                <w:b w:val="0"/>
                <w:sz w:val="18"/>
              </w:rPr>
              <w:t>xm+1 = xm</w:t>
            </w:r>
            <w:r>
              <w:br w:type="textWrapping"/>
            </w:r>
            <w:r>
              <w:rPr>
                <w:rFonts w:ascii="宋体" w:hAnsi="宋体" w:eastAsia="宋体"/>
                <w:b w:val="0"/>
                <w:sz w:val="18"/>
              </w:rPr>
              <w:t>ym+1 = ym - 1</w:t>
            </w:r>
          </w:p>
        </w:tc>
      </w:tr>
      <w:tr w14:paraId="74474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6DEBCB82">
            <w:pPr>
              <w:spacing w:after="0" w:line="240" w:lineRule="auto"/>
              <w:jc w:val="center"/>
            </w:pPr>
            <w:r>
              <w:rPr>
                <w:rFonts w:ascii="宋体" w:hAnsi="宋体" w:eastAsia="宋体"/>
                <w:b w:val="0"/>
                <w:sz w:val="18"/>
              </w:rPr>
              <w:t>Fm ≥ 0</w:t>
            </w:r>
          </w:p>
        </w:tc>
        <w:tc>
          <w:tcPr>
            <w:tcW w:w="1247" w:type="dxa"/>
            <w:vAlign w:val="center"/>
          </w:tcPr>
          <w:p w14:paraId="5A84823E">
            <w:pPr>
              <w:spacing w:after="0" w:line="240" w:lineRule="auto"/>
              <w:jc w:val="center"/>
            </w:pPr>
            <w:r>
              <w:rPr>
                <w:rFonts w:ascii="宋体" w:hAnsi="宋体" w:eastAsia="宋体"/>
                <w:b w:val="0"/>
                <w:sz w:val="18"/>
              </w:rPr>
              <w:t>SR3，NR4</w:t>
            </w:r>
          </w:p>
        </w:tc>
        <w:tc>
          <w:tcPr>
            <w:tcW w:w="907" w:type="dxa"/>
            <w:vAlign w:val="center"/>
          </w:tcPr>
          <w:p w14:paraId="46AC22FA">
            <w:pPr>
              <w:spacing w:after="0" w:line="240" w:lineRule="auto"/>
              <w:jc w:val="center"/>
            </w:pPr>
            <w:r>
              <w:rPr>
                <w:rFonts w:ascii="宋体" w:hAnsi="宋体" w:eastAsia="宋体"/>
                <w:b w:val="0"/>
                <w:sz w:val="18"/>
              </w:rPr>
              <w:t>+Y</w:t>
            </w:r>
          </w:p>
        </w:tc>
        <w:tc>
          <w:tcPr>
            <w:tcW w:w="2608" w:type="dxa"/>
            <w:vAlign w:val="center"/>
          </w:tcPr>
          <w:p w14:paraId="501D5B61">
            <w:pPr>
              <w:spacing w:after="0" w:line="240" w:lineRule="auto"/>
              <w:jc w:val="center"/>
            </w:pPr>
            <w:r>
              <w:rPr>
                <w:rFonts w:ascii="宋体" w:hAnsi="宋体" w:eastAsia="宋体"/>
                <w:b w:val="0"/>
                <w:sz w:val="18"/>
              </w:rPr>
              <w:t>Fm+1 = Fm + 2ym + 1</w:t>
            </w:r>
          </w:p>
        </w:tc>
        <w:tc>
          <w:tcPr>
            <w:tcW w:w="2721" w:type="dxa"/>
            <w:vAlign w:val="center"/>
          </w:tcPr>
          <w:p w14:paraId="5245D6BF">
            <w:pPr>
              <w:spacing w:after="0" w:line="240" w:lineRule="auto"/>
              <w:jc w:val="center"/>
            </w:pPr>
            <w:r>
              <w:rPr>
                <w:rFonts w:ascii="宋体" w:hAnsi="宋体" w:eastAsia="宋体"/>
                <w:b w:val="0"/>
                <w:sz w:val="18"/>
              </w:rPr>
              <w:t>xm+1 = xm</w:t>
            </w:r>
            <w:r>
              <w:br w:type="textWrapping"/>
            </w:r>
            <w:r>
              <w:rPr>
                <w:rFonts w:ascii="宋体" w:hAnsi="宋体" w:eastAsia="宋体"/>
                <w:b w:val="0"/>
                <w:sz w:val="18"/>
              </w:rPr>
              <w:t>ym+1 = ym + 1</w:t>
            </w:r>
          </w:p>
        </w:tc>
      </w:tr>
      <w:tr w14:paraId="0E53F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07" w:type="dxa"/>
            <w:vAlign w:val="center"/>
          </w:tcPr>
          <w:p w14:paraId="1CFB6CD2">
            <w:pPr>
              <w:spacing w:after="0" w:line="240" w:lineRule="auto"/>
              <w:jc w:val="center"/>
            </w:pPr>
            <w:r>
              <w:rPr>
                <w:rFonts w:ascii="宋体" w:hAnsi="宋体" w:eastAsia="宋体"/>
                <w:b w:val="0"/>
                <w:sz w:val="18"/>
              </w:rPr>
              <w:t>Fm ≥ 0</w:t>
            </w:r>
          </w:p>
        </w:tc>
        <w:tc>
          <w:tcPr>
            <w:tcW w:w="1247" w:type="dxa"/>
            <w:vAlign w:val="center"/>
          </w:tcPr>
          <w:p w14:paraId="6727964E">
            <w:pPr>
              <w:spacing w:after="0" w:line="240" w:lineRule="auto"/>
              <w:jc w:val="center"/>
            </w:pPr>
            <w:r>
              <w:rPr>
                <w:rFonts w:ascii="宋体" w:hAnsi="宋体" w:eastAsia="宋体"/>
                <w:b w:val="0"/>
                <w:sz w:val="18"/>
              </w:rPr>
              <w:t>SR4，NR1</w:t>
            </w:r>
          </w:p>
        </w:tc>
        <w:tc>
          <w:tcPr>
            <w:tcW w:w="907" w:type="dxa"/>
            <w:vAlign w:val="center"/>
          </w:tcPr>
          <w:p w14:paraId="469C5F85">
            <w:pPr>
              <w:spacing w:after="0" w:line="240" w:lineRule="auto"/>
              <w:jc w:val="center"/>
            </w:pPr>
            <w:r>
              <w:rPr>
                <w:rFonts w:ascii="宋体" w:hAnsi="宋体" w:eastAsia="宋体"/>
                <w:b w:val="0"/>
                <w:sz w:val="18"/>
              </w:rPr>
              <w:t>-X</w:t>
            </w:r>
          </w:p>
        </w:tc>
        <w:tc>
          <w:tcPr>
            <w:tcW w:w="2608" w:type="dxa"/>
            <w:vAlign w:val="center"/>
          </w:tcPr>
          <w:p w14:paraId="2839718F">
            <w:pPr>
              <w:spacing w:after="0" w:line="240" w:lineRule="auto"/>
              <w:jc w:val="center"/>
            </w:pPr>
            <w:r>
              <w:rPr>
                <w:rFonts w:ascii="宋体" w:hAnsi="宋体" w:eastAsia="宋体"/>
                <w:b w:val="0"/>
                <w:sz w:val="18"/>
              </w:rPr>
              <w:t>Fm+1 = Fm - 2xm + 1</w:t>
            </w:r>
          </w:p>
        </w:tc>
        <w:tc>
          <w:tcPr>
            <w:tcW w:w="2721" w:type="dxa"/>
            <w:vAlign w:val="center"/>
          </w:tcPr>
          <w:p w14:paraId="3C1002C2">
            <w:pPr>
              <w:spacing w:after="0" w:line="240" w:lineRule="auto"/>
              <w:jc w:val="center"/>
            </w:pPr>
            <w:r>
              <w:rPr>
                <w:rFonts w:ascii="宋体" w:hAnsi="宋体" w:eastAsia="宋体"/>
                <w:b w:val="0"/>
                <w:sz w:val="18"/>
              </w:rPr>
              <w:t>xm+1 = xm - 1</w:t>
            </w:r>
            <w:r>
              <w:br w:type="textWrapping"/>
            </w:r>
            <w:r>
              <w:rPr>
                <w:rFonts w:ascii="宋体" w:hAnsi="宋体" w:eastAsia="宋体"/>
                <w:b w:val="0"/>
                <w:sz w:val="18"/>
              </w:rPr>
              <w:t>ym+1 = ym</w:t>
            </w:r>
          </w:p>
        </w:tc>
      </w:tr>
      <w:tr w14:paraId="01A9C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355CB94A">
            <w:pPr>
              <w:spacing w:after="0" w:line="240" w:lineRule="auto"/>
              <w:jc w:val="center"/>
            </w:pPr>
            <w:r>
              <w:rPr>
                <w:rFonts w:ascii="宋体" w:hAnsi="宋体" w:eastAsia="宋体"/>
                <w:b w:val="0"/>
                <w:sz w:val="18"/>
              </w:rPr>
              <w:t>Fm ≥ 0</w:t>
            </w:r>
          </w:p>
        </w:tc>
        <w:tc>
          <w:tcPr>
            <w:tcW w:w="1247" w:type="dxa"/>
            <w:vAlign w:val="center"/>
          </w:tcPr>
          <w:p w14:paraId="11036BCF">
            <w:pPr>
              <w:spacing w:after="0" w:line="240" w:lineRule="auto"/>
              <w:jc w:val="center"/>
            </w:pPr>
            <w:r>
              <w:rPr>
                <w:rFonts w:ascii="宋体" w:hAnsi="宋体" w:eastAsia="宋体"/>
                <w:b w:val="0"/>
                <w:sz w:val="18"/>
              </w:rPr>
              <w:t>SR2，NR3</w:t>
            </w:r>
          </w:p>
        </w:tc>
        <w:tc>
          <w:tcPr>
            <w:tcW w:w="907" w:type="dxa"/>
            <w:vAlign w:val="center"/>
          </w:tcPr>
          <w:p w14:paraId="11E70977">
            <w:pPr>
              <w:spacing w:after="0" w:line="240" w:lineRule="auto"/>
              <w:jc w:val="center"/>
            </w:pPr>
            <w:r>
              <w:rPr>
                <w:rFonts w:ascii="宋体" w:hAnsi="宋体" w:eastAsia="宋体"/>
                <w:b w:val="0"/>
                <w:sz w:val="18"/>
              </w:rPr>
              <w:t>+X</w:t>
            </w:r>
          </w:p>
        </w:tc>
        <w:tc>
          <w:tcPr>
            <w:tcW w:w="2608" w:type="dxa"/>
            <w:vAlign w:val="center"/>
          </w:tcPr>
          <w:p w14:paraId="58D58391">
            <w:pPr>
              <w:spacing w:after="0" w:line="240" w:lineRule="auto"/>
              <w:jc w:val="center"/>
            </w:pPr>
            <w:r>
              <w:rPr>
                <w:rFonts w:ascii="宋体" w:hAnsi="宋体" w:eastAsia="宋体"/>
                <w:b w:val="0"/>
                <w:sz w:val="18"/>
              </w:rPr>
              <w:t>Fm+1 = Fm + 2xm + 1</w:t>
            </w:r>
          </w:p>
        </w:tc>
        <w:tc>
          <w:tcPr>
            <w:tcW w:w="2721" w:type="dxa"/>
            <w:vAlign w:val="center"/>
          </w:tcPr>
          <w:p w14:paraId="36D4C912">
            <w:pPr>
              <w:spacing w:after="0" w:line="240" w:lineRule="auto"/>
              <w:jc w:val="center"/>
            </w:pPr>
            <w:r>
              <w:rPr>
                <w:rFonts w:ascii="宋体" w:hAnsi="宋体" w:eastAsia="宋体"/>
                <w:b w:val="0"/>
                <w:sz w:val="18"/>
              </w:rPr>
              <w:t>xm+1 = xm + 1</w:t>
            </w:r>
            <w:r>
              <w:br w:type="textWrapping"/>
            </w:r>
            <w:r>
              <w:rPr>
                <w:rFonts w:ascii="宋体" w:hAnsi="宋体" w:eastAsia="宋体"/>
                <w:b w:val="0"/>
                <w:sz w:val="18"/>
              </w:rPr>
              <w:t>ym+1 = ym</w:t>
            </w:r>
          </w:p>
        </w:tc>
      </w:tr>
      <w:tr w14:paraId="3E737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420AD050">
            <w:pPr>
              <w:spacing w:after="0" w:line="240" w:lineRule="auto"/>
              <w:jc w:val="center"/>
            </w:pPr>
            <w:r>
              <w:rPr>
                <w:rFonts w:ascii="宋体" w:hAnsi="宋体" w:eastAsia="宋体"/>
                <w:b w:val="0"/>
                <w:sz w:val="18"/>
              </w:rPr>
              <w:t>Fm &lt; 0</w:t>
            </w:r>
          </w:p>
        </w:tc>
        <w:tc>
          <w:tcPr>
            <w:tcW w:w="1247" w:type="dxa"/>
            <w:vAlign w:val="center"/>
          </w:tcPr>
          <w:p w14:paraId="6EA6798D">
            <w:pPr>
              <w:spacing w:after="0" w:line="240" w:lineRule="auto"/>
              <w:jc w:val="center"/>
            </w:pPr>
            <w:r>
              <w:rPr>
                <w:rFonts w:ascii="宋体" w:hAnsi="宋体" w:eastAsia="宋体"/>
                <w:b w:val="0"/>
                <w:sz w:val="18"/>
              </w:rPr>
              <w:t>SR1，NR4</w:t>
            </w:r>
          </w:p>
        </w:tc>
        <w:tc>
          <w:tcPr>
            <w:tcW w:w="907" w:type="dxa"/>
            <w:vAlign w:val="center"/>
          </w:tcPr>
          <w:p w14:paraId="2D9B9EB6">
            <w:pPr>
              <w:spacing w:after="0" w:line="240" w:lineRule="auto"/>
              <w:jc w:val="center"/>
            </w:pPr>
            <w:r>
              <w:rPr>
                <w:rFonts w:ascii="宋体" w:hAnsi="宋体" w:eastAsia="宋体"/>
                <w:b w:val="0"/>
                <w:sz w:val="18"/>
              </w:rPr>
              <w:t>+X</w:t>
            </w:r>
          </w:p>
        </w:tc>
        <w:tc>
          <w:tcPr>
            <w:tcW w:w="2608" w:type="dxa"/>
            <w:vAlign w:val="center"/>
          </w:tcPr>
          <w:p w14:paraId="4B0A6945">
            <w:pPr>
              <w:spacing w:after="0" w:line="240" w:lineRule="auto"/>
              <w:jc w:val="center"/>
            </w:pPr>
            <w:r>
              <w:rPr>
                <w:rFonts w:ascii="宋体" w:hAnsi="宋体" w:eastAsia="宋体"/>
                <w:b w:val="0"/>
                <w:sz w:val="18"/>
              </w:rPr>
              <w:t>Fm+1 = Fm + 2xm + 1</w:t>
            </w:r>
          </w:p>
        </w:tc>
        <w:tc>
          <w:tcPr>
            <w:tcW w:w="2721" w:type="dxa"/>
            <w:vAlign w:val="center"/>
          </w:tcPr>
          <w:p w14:paraId="0B22309E">
            <w:pPr>
              <w:spacing w:after="0" w:line="240" w:lineRule="auto"/>
              <w:jc w:val="center"/>
            </w:pPr>
            <w:r>
              <w:rPr>
                <w:rFonts w:ascii="宋体" w:hAnsi="宋体" w:eastAsia="宋体"/>
                <w:b w:val="0"/>
                <w:sz w:val="18"/>
              </w:rPr>
              <w:t>xm+1 = xm + 1</w:t>
            </w:r>
            <w:r>
              <w:br w:type="textWrapping"/>
            </w:r>
            <w:r>
              <w:rPr>
                <w:rFonts w:ascii="宋体" w:hAnsi="宋体" w:eastAsia="宋体"/>
                <w:b w:val="0"/>
                <w:sz w:val="18"/>
              </w:rPr>
              <w:t>ym+1 = ym</w:t>
            </w:r>
          </w:p>
        </w:tc>
      </w:tr>
      <w:tr w14:paraId="33675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2238F435">
            <w:pPr>
              <w:spacing w:after="0" w:line="240" w:lineRule="auto"/>
              <w:jc w:val="center"/>
            </w:pPr>
            <w:r>
              <w:rPr>
                <w:rFonts w:ascii="宋体" w:hAnsi="宋体" w:eastAsia="宋体"/>
                <w:b w:val="0"/>
                <w:sz w:val="18"/>
              </w:rPr>
              <w:t>Fm &lt; 0</w:t>
            </w:r>
          </w:p>
        </w:tc>
        <w:tc>
          <w:tcPr>
            <w:tcW w:w="1247" w:type="dxa"/>
            <w:vAlign w:val="center"/>
          </w:tcPr>
          <w:p w14:paraId="444AC6DE">
            <w:pPr>
              <w:spacing w:after="0" w:line="240" w:lineRule="auto"/>
              <w:jc w:val="center"/>
            </w:pPr>
            <w:r>
              <w:rPr>
                <w:rFonts w:ascii="宋体" w:hAnsi="宋体" w:eastAsia="宋体"/>
                <w:b w:val="0"/>
                <w:sz w:val="18"/>
              </w:rPr>
              <w:t>SR3，NR2</w:t>
            </w:r>
          </w:p>
        </w:tc>
        <w:tc>
          <w:tcPr>
            <w:tcW w:w="907" w:type="dxa"/>
            <w:vAlign w:val="center"/>
          </w:tcPr>
          <w:p w14:paraId="76132FAF">
            <w:pPr>
              <w:spacing w:after="0" w:line="240" w:lineRule="auto"/>
              <w:jc w:val="center"/>
            </w:pPr>
            <w:r>
              <w:rPr>
                <w:rFonts w:ascii="宋体" w:hAnsi="宋体" w:eastAsia="宋体"/>
                <w:b w:val="0"/>
                <w:sz w:val="18"/>
              </w:rPr>
              <w:t>-X</w:t>
            </w:r>
          </w:p>
        </w:tc>
        <w:tc>
          <w:tcPr>
            <w:tcW w:w="2608" w:type="dxa"/>
            <w:vAlign w:val="center"/>
          </w:tcPr>
          <w:p w14:paraId="069B8DE3">
            <w:pPr>
              <w:spacing w:after="0" w:line="240" w:lineRule="auto"/>
              <w:jc w:val="center"/>
            </w:pPr>
            <w:r>
              <w:rPr>
                <w:rFonts w:ascii="宋体" w:hAnsi="宋体" w:eastAsia="宋体"/>
                <w:b w:val="0"/>
                <w:sz w:val="18"/>
              </w:rPr>
              <w:t>Fm+1 = Fm - 2xm + 1</w:t>
            </w:r>
          </w:p>
        </w:tc>
        <w:tc>
          <w:tcPr>
            <w:tcW w:w="2721" w:type="dxa"/>
            <w:vAlign w:val="center"/>
          </w:tcPr>
          <w:p w14:paraId="2ED49D4F">
            <w:pPr>
              <w:spacing w:after="0" w:line="240" w:lineRule="auto"/>
              <w:jc w:val="center"/>
            </w:pPr>
            <w:r>
              <w:rPr>
                <w:rFonts w:ascii="宋体" w:hAnsi="宋体" w:eastAsia="宋体"/>
                <w:b w:val="0"/>
                <w:sz w:val="18"/>
              </w:rPr>
              <w:t>xm+1 = xm - 1</w:t>
            </w:r>
            <w:r>
              <w:br w:type="textWrapping"/>
            </w:r>
            <w:r>
              <w:rPr>
                <w:rFonts w:ascii="宋体" w:hAnsi="宋体" w:eastAsia="宋体"/>
                <w:b w:val="0"/>
                <w:sz w:val="18"/>
              </w:rPr>
              <w:t>ym+1 = ym</w:t>
            </w:r>
          </w:p>
        </w:tc>
      </w:tr>
      <w:tr w14:paraId="56150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07" w:type="dxa"/>
            <w:vAlign w:val="center"/>
          </w:tcPr>
          <w:p w14:paraId="35536CA5">
            <w:pPr>
              <w:spacing w:after="0" w:line="240" w:lineRule="auto"/>
              <w:jc w:val="center"/>
            </w:pPr>
            <w:r>
              <w:rPr>
                <w:rFonts w:ascii="宋体" w:hAnsi="宋体" w:eastAsia="宋体"/>
                <w:b w:val="0"/>
                <w:sz w:val="18"/>
              </w:rPr>
              <w:t>Fm &lt; 0</w:t>
            </w:r>
          </w:p>
        </w:tc>
        <w:tc>
          <w:tcPr>
            <w:tcW w:w="1247" w:type="dxa"/>
            <w:vAlign w:val="center"/>
          </w:tcPr>
          <w:p w14:paraId="5330C8AA">
            <w:pPr>
              <w:spacing w:after="0" w:line="240" w:lineRule="auto"/>
              <w:jc w:val="center"/>
            </w:pPr>
            <w:r>
              <w:rPr>
                <w:rFonts w:ascii="宋体" w:hAnsi="宋体" w:eastAsia="宋体"/>
                <w:b w:val="0"/>
                <w:sz w:val="18"/>
              </w:rPr>
              <w:t>SR2，NR1</w:t>
            </w:r>
          </w:p>
        </w:tc>
        <w:tc>
          <w:tcPr>
            <w:tcW w:w="907" w:type="dxa"/>
            <w:vAlign w:val="center"/>
          </w:tcPr>
          <w:p w14:paraId="653B6F8B">
            <w:pPr>
              <w:spacing w:after="0" w:line="240" w:lineRule="auto"/>
              <w:jc w:val="center"/>
            </w:pPr>
            <w:r>
              <w:rPr>
                <w:rFonts w:ascii="宋体" w:hAnsi="宋体" w:eastAsia="宋体"/>
                <w:b w:val="0"/>
                <w:sz w:val="18"/>
              </w:rPr>
              <w:t>+Y</w:t>
            </w:r>
          </w:p>
        </w:tc>
        <w:tc>
          <w:tcPr>
            <w:tcW w:w="2608" w:type="dxa"/>
            <w:vAlign w:val="center"/>
          </w:tcPr>
          <w:p w14:paraId="3A61A6E3">
            <w:pPr>
              <w:spacing w:after="0" w:line="240" w:lineRule="auto"/>
              <w:jc w:val="center"/>
            </w:pPr>
            <w:r>
              <w:rPr>
                <w:rFonts w:ascii="宋体" w:hAnsi="宋体" w:eastAsia="宋体"/>
                <w:b w:val="0"/>
                <w:sz w:val="18"/>
              </w:rPr>
              <w:t>Fm+1 = Fm + 2ym + 1</w:t>
            </w:r>
          </w:p>
        </w:tc>
        <w:tc>
          <w:tcPr>
            <w:tcW w:w="2721" w:type="dxa"/>
            <w:vAlign w:val="center"/>
          </w:tcPr>
          <w:p w14:paraId="3632FD95">
            <w:pPr>
              <w:spacing w:after="0" w:line="240" w:lineRule="auto"/>
              <w:jc w:val="center"/>
            </w:pPr>
            <w:r>
              <w:rPr>
                <w:rFonts w:ascii="宋体" w:hAnsi="宋体" w:eastAsia="宋体"/>
                <w:b w:val="0"/>
                <w:sz w:val="18"/>
              </w:rPr>
              <w:t>xm+1 = xm</w:t>
            </w:r>
            <w:r>
              <w:br w:type="textWrapping"/>
            </w:r>
            <w:r>
              <w:rPr>
                <w:rFonts w:ascii="宋体" w:hAnsi="宋体" w:eastAsia="宋体"/>
                <w:b w:val="0"/>
                <w:sz w:val="18"/>
              </w:rPr>
              <w:t>ym+1 = ym + 1</w:t>
            </w:r>
          </w:p>
        </w:tc>
      </w:tr>
      <w:tr w14:paraId="3D794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vAlign w:val="center"/>
          </w:tcPr>
          <w:p w14:paraId="0B9EB959">
            <w:pPr>
              <w:spacing w:after="0" w:line="240" w:lineRule="auto"/>
              <w:jc w:val="center"/>
            </w:pPr>
            <w:r>
              <w:rPr>
                <w:rFonts w:ascii="宋体" w:hAnsi="宋体" w:eastAsia="宋体"/>
                <w:b w:val="0"/>
                <w:sz w:val="18"/>
              </w:rPr>
              <w:t>Fm &lt; 0</w:t>
            </w:r>
          </w:p>
        </w:tc>
        <w:tc>
          <w:tcPr>
            <w:tcW w:w="1247" w:type="dxa"/>
            <w:vAlign w:val="center"/>
          </w:tcPr>
          <w:p w14:paraId="3CA1F59C">
            <w:pPr>
              <w:spacing w:after="0" w:line="240" w:lineRule="auto"/>
              <w:jc w:val="center"/>
            </w:pPr>
            <w:r>
              <w:rPr>
                <w:rFonts w:ascii="宋体" w:hAnsi="宋体" w:eastAsia="宋体"/>
                <w:b w:val="0"/>
                <w:sz w:val="18"/>
              </w:rPr>
              <w:t>SR4，NR3</w:t>
            </w:r>
          </w:p>
        </w:tc>
        <w:tc>
          <w:tcPr>
            <w:tcW w:w="907" w:type="dxa"/>
            <w:vAlign w:val="center"/>
          </w:tcPr>
          <w:p w14:paraId="328E81F7">
            <w:pPr>
              <w:spacing w:after="0" w:line="240" w:lineRule="auto"/>
              <w:jc w:val="center"/>
            </w:pPr>
            <w:r>
              <w:rPr>
                <w:rFonts w:ascii="宋体" w:hAnsi="宋体" w:eastAsia="宋体"/>
                <w:b w:val="0"/>
                <w:sz w:val="18"/>
              </w:rPr>
              <w:t>-Y</w:t>
            </w:r>
          </w:p>
        </w:tc>
        <w:tc>
          <w:tcPr>
            <w:tcW w:w="2608" w:type="dxa"/>
            <w:vAlign w:val="center"/>
          </w:tcPr>
          <w:p w14:paraId="376E00E2">
            <w:pPr>
              <w:spacing w:after="0" w:line="240" w:lineRule="auto"/>
              <w:jc w:val="center"/>
            </w:pPr>
            <w:r>
              <w:rPr>
                <w:rFonts w:ascii="宋体" w:hAnsi="宋体" w:eastAsia="宋体"/>
                <w:b w:val="0"/>
                <w:sz w:val="18"/>
              </w:rPr>
              <w:t>Fm+1 = Fm - 2ym + 1</w:t>
            </w:r>
          </w:p>
        </w:tc>
        <w:tc>
          <w:tcPr>
            <w:tcW w:w="2721" w:type="dxa"/>
            <w:vAlign w:val="center"/>
          </w:tcPr>
          <w:p w14:paraId="50A9E7ED">
            <w:pPr>
              <w:spacing w:after="0" w:line="240" w:lineRule="auto"/>
              <w:jc w:val="center"/>
            </w:pPr>
            <w:r>
              <w:rPr>
                <w:rFonts w:ascii="宋体" w:hAnsi="宋体" w:eastAsia="宋体"/>
                <w:b w:val="0"/>
                <w:sz w:val="18"/>
              </w:rPr>
              <w:t>xm+1 = xm</w:t>
            </w:r>
            <w:r>
              <w:br w:type="textWrapping"/>
            </w:r>
            <w:r>
              <w:rPr>
                <w:rFonts w:ascii="宋体" w:hAnsi="宋体" w:eastAsia="宋体"/>
                <w:b w:val="0"/>
                <w:sz w:val="18"/>
              </w:rPr>
              <w:t>ym+1 = ym - 1</w:t>
            </w:r>
          </w:p>
        </w:tc>
      </w:tr>
    </w:tbl>
    <w:p w14:paraId="788686AC"/>
    <w:p w14:paraId="43426C4A">
      <w:pPr>
        <w:spacing w:before="240" w:after="160"/>
      </w:pPr>
      <w:r>
        <w:rPr>
          <w:rFonts w:ascii="黑体" w:hAnsi="黑体" w:eastAsia="黑体"/>
          <w:b/>
          <w:sz w:val="28"/>
        </w:rPr>
        <w:t>三、程序实现流程</w:t>
      </w:r>
    </w:p>
    <w:p w14:paraId="1FBFBBD7">
      <w:pPr>
        <w:spacing w:after="80" w:line="360" w:lineRule="auto"/>
        <w:ind w:firstLine="420"/>
        <w:jc w:val="both"/>
      </w:pPr>
      <w:r>
        <w:rPr>
          <w:rFonts w:ascii="宋体" w:hAnsi="宋体" w:eastAsia="宋体"/>
          <w:sz w:val="24"/>
        </w:rPr>
        <w:t>程序界面输入起点坐标、终点坐标和圆弧方向参数后，先计算插补总步数 Nxy，并将初始偏差 Fm 置为 0。随后进入循环：进行偏差判别，按照表1选择进给方向，在坐标系中绘制一步，更新偏差值和当前坐标，最后判断 Nxy 是否为 0。若未到终点则继续循环，直至模拟结束。</w:t>
      </w:r>
    </w:p>
    <w:p w14:paraId="003C866C">
      <w:pPr>
        <w:spacing w:after="40"/>
        <w:jc w:val="center"/>
      </w:pPr>
      <w:r>
        <w:drawing>
          <wp:inline distT="0" distB="0" distL="114300" distR="114300">
            <wp:extent cx="3419475" cy="5073015"/>
            <wp:effectExtent l="0" t="0" r="9525"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420000" cy="5073626"/>
                    </a:xfrm>
                    <a:prstGeom prst="rect">
                      <a:avLst/>
                    </a:prstGeom>
                  </pic:spPr>
                </pic:pic>
              </a:graphicData>
            </a:graphic>
          </wp:inline>
        </w:drawing>
      </w:r>
    </w:p>
    <w:p w14:paraId="29CBC5BC">
      <w:pPr>
        <w:spacing w:before="40" w:after="160"/>
        <w:jc w:val="center"/>
      </w:pPr>
      <w:r>
        <w:rPr>
          <w:rFonts w:ascii="宋体" w:hAnsi="宋体" w:eastAsia="宋体"/>
          <w:sz w:val="21"/>
        </w:rPr>
        <w:t>图1 圆弧插补程序实现流程图（第二种方法）</w:t>
      </w:r>
    </w:p>
    <w:p w14:paraId="359E5A40">
      <w:pPr>
        <w:spacing w:before="240" w:after="160"/>
      </w:pPr>
      <w:r>
        <w:rPr>
          <w:rFonts w:ascii="黑体" w:hAnsi="黑体" w:eastAsia="黑体"/>
          <w:b/>
          <w:sz w:val="28"/>
        </w:rPr>
        <w:t>四、实验内容</w:t>
      </w:r>
    </w:p>
    <w:p w14:paraId="40AEE35A">
      <w:pPr>
        <w:spacing w:before="120" w:after="60"/>
      </w:pPr>
      <w:r>
        <w:rPr>
          <w:rFonts w:ascii="黑体" w:hAnsi="黑体" w:eastAsia="黑体"/>
          <w:b/>
          <w:sz w:val="24"/>
        </w:rPr>
        <w:t>4.1 程序主界面</w:t>
      </w:r>
    </w:p>
    <w:p w14:paraId="3B8AFC8A">
      <w:pPr>
        <w:spacing w:after="80" w:line="360" w:lineRule="auto"/>
        <w:ind w:firstLine="420"/>
        <w:jc w:val="both"/>
      </w:pPr>
      <w:r>
        <w:rPr>
          <w:rFonts w:ascii="宋体" w:hAnsi="宋体" w:eastAsia="宋体"/>
          <w:sz w:val="24"/>
        </w:rPr>
        <w:t>程序主界面由绘图区和参数输入区组成。绘图区用于显示坐标轴和圆弧插补走步轨迹，参数输入区用于输入起点 x、起点 y、终点 x 和终点 y。单击“开始圆弧插补”按钮后，程序根据输入参数逐步绘制插补轨迹。</w:t>
      </w:r>
    </w:p>
    <w:p w14:paraId="64CCF4A9">
      <w:pPr>
        <w:spacing w:after="40"/>
        <w:jc w:val="center"/>
      </w:pPr>
      <w:r>
        <w:drawing>
          <wp:inline distT="0" distB="0" distL="114300" distR="114300">
            <wp:extent cx="4247515" cy="2846070"/>
            <wp:effectExtent l="0" t="0" r="635"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248000" cy="2846160"/>
                    </a:xfrm>
                    <a:prstGeom prst="rect">
                      <a:avLst/>
                    </a:prstGeom>
                  </pic:spPr>
                </pic:pic>
              </a:graphicData>
            </a:graphic>
          </wp:inline>
        </w:drawing>
      </w:r>
    </w:p>
    <w:p w14:paraId="7950A824">
      <w:pPr>
        <w:spacing w:before="40" w:after="160"/>
        <w:jc w:val="center"/>
      </w:pPr>
      <w:r>
        <w:rPr>
          <w:rFonts w:ascii="宋体" w:hAnsi="宋体" w:eastAsia="宋体"/>
          <w:sz w:val="21"/>
        </w:rPr>
        <w:t>图2 圆弧插补程序主界面</w:t>
      </w:r>
    </w:p>
    <w:p w14:paraId="4CD903DA">
      <w:pPr>
        <w:spacing w:before="120" w:after="60"/>
      </w:pPr>
      <w:r>
        <w:rPr>
          <w:rFonts w:ascii="黑体" w:hAnsi="黑体" w:eastAsia="黑体"/>
          <w:b/>
          <w:sz w:val="24"/>
        </w:rPr>
        <w:t>4.2 四象限八种圆弧轨迹测试</w:t>
      </w:r>
    </w:p>
    <w:p w14:paraId="7DDEBD30">
      <w:pPr>
        <w:spacing w:after="80" w:line="360" w:lineRule="auto"/>
        <w:ind w:firstLine="420"/>
        <w:jc w:val="both"/>
      </w:pPr>
      <w:r>
        <w:rPr>
          <w:rFonts w:ascii="宋体" w:hAnsi="宋体" w:eastAsia="宋体"/>
          <w:sz w:val="24"/>
        </w:rPr>
        <w:t>为了验证程序对不同象限和不同圆弧方向的适应性，本实验分别测试了第一、第二、第三、第四象限的顺时针和逆时针圆弧。测试结果如下。</w:t>
      </w:r>
    </w:p>
    <w:tbl>
      <w:tblPr>
        <w:tblStyle w:val="32"/>
        <w:tblW w:w="0" w:type="auto"/>
        <w:jc w:val="center"/>
        <w:tblLayout w:type="fixed"/>
        <w:tblCellMar>
          <w:top w:w="0" w:type="dxa"/>
          <w:left w:w="108" w:type="dxa"/>
          <w:bottom w:w="0" w:type="dxa"/>
          <w:right w:w="108" w:type="dxa"/>
        </w:tblCellMar>
      </w:tblPr>
      <w:tblGrid>
        <w:gridCol w:w="4649"/>
        <w:gridCol w:w="4649"/>
      </w:tblGrid>
      <w:tr w14:paraId="43973F40">
        <w:tblPrEx>
          <w:tblCellMar>
            <w:top w:w="0" w:type="dxa"/>
            <w:left w:w="108" w:type="dxa"/>
            <w:bottom w:w="0" w:type="dxa"/>
            <w:right w:w="108" w:type="dxa"/>
          </w:tblCellMar>
        </w:tblPrEx>
        <w:trPr>
          <w:jc w:val="center"/>
        </w:trPr>
        <w:tc>
          <w:tcPr>
            <w:tcW w:w="4649" w:type="dxa"/>
            <w:vAlign w:val="center"/>
          </w:tcPr>
          <w:p w14:paraId="4015B150">
            <w:pPr>
              <w:jc w:val="center"/>
            </w:pPr>
            <w:r>
              <w:drawing>
                <wp:inline distT="0" distB="0" distL="114300" distR="114300">
                  <wp:extent cx="2537460" cy="1716405"/>
                  <wp:effectExtent l="0" t="0" r="15240"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2538000" cy="1716557"/>
                          </a:xfrm>
                          <a:prstGeom prst="rect">
                            <a:avLst/>
                          </a:prstGeom>
                        </pic:spPr>
                      </pic:pic>
                    </a:graphicData>
                  </a:graphic>
                </wp:inline>
              </w:drawing>
            </w:r>
          </w:p>
        </w:tc>
        <w:tc>
          <w:tcPr>
            <w:tcW w:w="4649" w:type="dxa"/>
            <w:vAlign w:val="center"/>
          </w:tcPr>
          <w:p w14:paraId="2AD56434">
            <w:pPr>
              <w:jc w:val="center"/>
            </w:pPr>
            <w:r>
              <w:drawing>
                <wp:inline distT="0" distB="0" distL="114300" distR="114300">
                  <wp:extent cx="2537460" cy="1699260"/>
                  <wp:effectExtent l="0" t="0" r="15240"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2538000" cy="1699325"/>
                          </a:xfrm>
                          <a:prstGeom prst="rect">
                            <a:avLst/>
                          </a:prstGeom>
                        </pic:spPr>
                      </pic:pic>
                    </a:graphicData>
                  </a:graphic>
                </wp:inline>
              </w:drawing>
            </w:r>
          </w:p>
        </w:tc>
      </w:tr>
      <w:tr w14:paraId="29799395">
        <w:tblPrEx>
          <w:tblCellMar>
            <w:top w:w="0" w:type="dxa"/>
            <w:left w:w="108" w:type="dxa"/>
            <w:bottom w:w="0" w:type="dxa"/>
            <w:right w:w="108" w:type="dxa"/>
          </w:tblCellMar>
        </w:tblPrEx>
        <w:trPr>
          <w:jc w:val="center"/>
        </w:trPr>
        <w:tc>
          <w:tcPr>
            <w:tcW w:w="4649" w:type="dxa"/>
            <w:vAlign w:val="center"/>
          </w:tcPr>
          <w:p w14:paraId="0C10BD7D">
            <w:pPr>
              <w:jc w:val="center"/>
            </w:pPr>
            <w:r>
              <w:rPr>
                <w:rFonts w:ascii="宋体" w:hAnsi="宋体" w:eastAsia="宋体"/>
                <w:sz w:val="19"/>
              </w:rPr>
              <w:t>图3 第一象限逆时针圆弧插补轨迹</w:t>
            </w:r>
          </w:p>
        </w:tc>
        <w:tc>
          <w:tcPr>
            <w:tcW w:w="4649" w:type="dxa"/>
            <w:vAlign w:val="center"/>
          </w:tcPr>
          <w:p w14:paraId="0D1A0C1C">
            <w:pPr>
              <w:jc w:val="center"/>
            </w:pPr>
            <w:r>
              <w:rPr>
                <w:rFonts w:ascii="宋体" w:hAnsi="宋体" w:eastAsia="宋体"/>
                <w:sz w:val="19"/>
              </w:rPr>
              <w:t>图4 第一象限顺时针圆弧插补轨迹</w:t>
            </w:r>
          </w:p>
        </w:tc>
      </w:tr>
    </w:tbl>
    <w:p w14:paraId="1E4935CD"/>
    <w:tbl>
      <w:tblPr>
        <w:tblStyle w:val="32"/>
        <w:tblW w:w="0" w:type="auto"/>
        <w:jc w:val="center"/>
        <w:tblLayout w:type="fixed"/>
        <w:tblCellMar>
          <w:top w:w="0" w:type="dxa"/>
          <w:left w:w="108" w:type="dxa"/>
          <w:bottom w:w="0" w:type="dxa"/>
          <w:right w:w="108" w:type="dxa"/>
        </w:tblCellMar>
      </w:tblPr>
      <w:tblGrid>
        <w:gridCol w:w="4649"/>
        <w:gridCol w:w="4649"/>
      </w:tblGrid>
      <w:tr w14:paraId="435036A5">
        <w:tblPrEx>
          <w:tblCellMar>
            <w:top w:w="0" w:type="dxa"/>
            <w:left w:w="108" w:type="dxa"/>
            <w:bottom w:w="0" w:type="dxa"/>
            <w:right w:w="108" w:type="dxa"/>
          </w:tblCellMar>
        </w:tblPrEx>
        <w:trPr>
          <w:jc w:val="center"/>
        </w:trPr>
        <w:tc>
          <w:tcPr>
            <w:tcW w:w="4649" w:type="dxa"/>
            <w:vAlign w:val="center"/>
          </w:tcPr>
          <w:p w14:paraId="7F2B9C6B">
            <w:pPr>
              <w:jc w:val="center"/>
            </w:pPr>
            <w:r>
              <w:drawing>
                <wp:inline distT="0" distB="0" distL="114300" distR="114300">
                  <wp:extent cx="2537460" cy="1706245"/>
                  <wp:effectExtent l="0" t="0" r="152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2538000" cy="1706586"/>
                          </a:xfrm>
                          <a:prstGeom prst="rect">
                            <a:avLst/>
                          </a:prstGeom>
                        </pic:spPr>
                      </pic:pic>
                    </a:graphicData>
                  </a:graphic>
                </wp:inline>
              </w:drawing>
            </w:r>
          </w:p>
        </w:tc>
        <w:tc>
          <w:tcPr>
            <w:tcW w:w="4649" w:type="dxa"/>
            <w:vAlign w:val="center"/>
          </w:tcPr>
          <w:p w14:paraId="7EED67A1">
            <w:pPr>
              <w:jc w:val="center"/>
            </w:pPr>
            <w:r>
              <w:drawing>
                <wp:inline distT="0" distB="0" distL="114300" distR="114300">
                  <wp:extent cx="2537460" cy="1713865"/>
                  <wp:effectExtent l="0" t="0" r="152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2538000" cy="1714070"/>
                          </a:xfrm>
                          <a:prstGeom prst="rect">
                            <a:avLst/>
                          </a:prstGeom>
                        </pic:spPr>
                      </pic:pic>
                    </a:graphicData>
                  </a:graphic>
                </wp:inline>
              </w:drawing>
            </w:r>
          </w:p>
        </w:tc>
      </w:tr>
      <w:tr w14:paraId="58C9108E">
        <w:tblPrEx>
          <w:tblCellMar>
            <w:top w:w="0" w:type="dxa"/>
            <w:left w:w="108" w:type="dxa"/>
            <w:bottom w:w="0" w:type="dxa"/>
            <w:right w:w="108" w:type="dxa"/>
          </w:tblCellMar>
        </w:tblPrEx>
        <w:trPr>
          <w:jc w:val="center"/>
        </w:trPr>
        <w:tc>
          <w:tcPr>
            <w:tcW w:w="4649" w:type="dxa"/>
            <w:vAlign w:val="center"/>
          </w:tcPr>
          <w:p w14:paraId="603D4021">
            <w:pPr>
              <w:jc w:val="center"/>
            </w:pPr>
            <w:r>
              <w:rPr>
                <w:rFonts w:ascii="宋体" w:hAnsi="宋体" w:eastAsia="宋体"/>
                <w:sz w:val="19"/>
              </w:rPr>
              <w:t>图5 第二象限逆时针圆弧插补轨迹</w:t>
            </w:r>
          </w:p>
        </w:tc>
        <w:tc>
          <w:tcPr>
            <w:tcW w:w="4649" w:type="dxa"/>
            <w:vAlign w:val="center"/>
          </w:tcPr>
          <w:p w14:paraId="6B219ACF">
            <w:pPr>
              <w:jc w:val="center"/>
            </w:pPr>
            <w:r>
              <w:rPr>
                <w:rFonts w:ascii="宋体" w:hAnsi="宋体" w:eastAsia="宋体"/>
                <w:sz w:val="19"/>
              </w:rPr>
              <w:t>图6 第二象限顺时针圆弧插补轨迹</w:t>
            </w:r>
          </w:p>
        </w:tc>
      </w:tr>
    </w:tbl>
    <w:p w14:paraId="3131CA03"/>
    <w:tbl>
      <w:tblPr>
        <w:tblStyle w:val="32"/>
        <w:tblW w:w="0" w:type="auto"/>
        <w:jc w:val="center"/>
        <w:tblLayout w:type="fixed"/>
        <w:tblCellMar>
          <w:top w:w="0" w:type="dxa"/>
          <w:left w:w="108" w:type="dxa"/>
          <w:bottom w:w="0" w:type="dxa"/>
          <w:right w:w="108" w:type="dxa"/>
        </w:tblCellMar>
      </w:tblPr>
      <w:tblGrid>
        <w:gridCol w:w="4649"/>
        <w:gridCol w:w="4649"/>
      </w:tblGrid>
      <w:tr w14:paraId="33C26E21">
        <w:tblPrEx>
          <w:tblCellMar>
            <w:top w:w="0" w:type="dxa"/>
            <w:left w:w="108" w:type="dxa"/>
            <w:bottom w:w="0" w:type="dxa"/>
            <w:right w:w="108" w:type="dxa"/>
          </w:tblCellMar>
        </w:tblPrEx>
        <w:trPr>
          <w:jc w:val="center"/>
        </w:trPr>
        <w:tc>
          <w:tcPr>
            <w:tcW w:w="4649" w:type="dxa"/>
            <w:vAlign w:val="center"/>
          </w:tcPr>
          <w:p w14:paraId="356D1913">
            <w:pPr>
              <w:jc w:val="center"/>
            </w:pPr>
            <w:r>
              <w:drawing>
                <wp:inline distT="0" distB="0" distL="114300" distR="114300">
                  <wp:extent cx="2537460" cy="1700530"/>
                  <wp:effectExtent l="0" t="0" r="15240"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2538000" cy="1700608"/>
                          </a:xfrm>
                          <a:prstGeom prst="rect">
                            <a:avLst/>
                          </a:prstGeom>
                        </pic:spPr>
                      </pic:pic>
                    </a:graphicData>
                  </a:graphic>
                </wp:inline>
              </w:drawing>
            </w:r>
          </w:p>
        </w:tc>
        <w:tc>
          <w:tcPr>
            <w:tcW w:w="4649" w:type="dxa"/>
            <w:vAlign w:val="center"/>
          </w:tcPr>
          <w:p w14:paraId="40962121">
            <w:pPr>
              <w:jc w:val="center"/>
            </w:pPr>
            <w:r>
              <w:drawing>
                <wp:inline distT="0" distB="0" distL="114300" distR="114300">
                  <wp:extent cx="2537460" cy="1696720"/>
                  <wp:effectExtent l="0" t="0" r="15240" b="177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2538000" cy="1696855"/>
                          </a:xfrm>
                          <a:prstGeom prst="rect">
                            <a:avLst/>
                          </a:prstGeom>
                        </pic:spPr>
                      </pic:pic>
                    </a:graphicData>
                  </a:graphic>
                </wp:inline>
              </w:drawing>
            </w:r>
          </w:p>
        </w:tc>
      </w:tr>
      <w:tr w14:paraId="6FE28AD4">
        <w:tblPrEx>
          <w:tblCellMar>
            <w:top w:w="0" w:type="dxa"/>
            <w:left w:w="108" w:type="dxa"/>
            <w:bottom w:w="0" w:type="dxa"/>
            <w:right w:w="108" w:type="dxa"/>
          </w:tblCellMar>
        </w:tblPrEx>
        <w:trPr>
          <w:jc w:val="center"/>
        </w:trPr>
        <w:tc>
          <w:tcPr>
            <w:tcW w:w="4649" w:type="dxa"/>
            <w:vAlign w:val="center"/>
          </w:tcPr>
          <w:p w14:paraId="6F0E72C1">
            <w:pPr>
              <w:jc w:val="center"/>
            </w:pPr>
            <w:r>
              <w:rPr>
                <w:rFonts w:ascii="宋体" w:hAnsi="宋体" w:eastAsia="宋体"/>
                <w:sz w:val="19"/>
              </w:rPr>
              <w:t>图7 第三象限逆时针圆弧插补轨迹</w:t>
            </w:r>
          </w:p>
        </w:tc>
        <w:tc>
          <w:tcPr>
            <w:tcW w:w="4649" w:type="dxa"/>
            <w:vAlign w:val="center"/>
          </w:tcPr>
          <w:p w14:paraId="4BAC3C2B">
            <w:pPr>
              <w:jc w:val="center"/>
            </w:pPr>
            <w:r>
              <w:rPr>
                <w:rFonts w:ascii="宋体" w:hAnsi="宋体" w:eastAsia="宋体"/>
                <w:sz w:val="19"/>
              </w:rPr>
              <w:t>图8 第三象限顺时针圆弧插补轨迹</w:t>
            </w:r>
          </w:p>
        </w:tc>
      </w:tr>
    </w:tbl>
    <w:p w14:paraId="236821D3"/>
    <w:tbl>
      <w:tblPr>
        <w:tblStyle w:val="32"/>
        <w:tblW w:w="0" w:type="auto"/>
        <w:jc w:val="center"/>
        <w:tblLayout w:type="fixed"/>
        <w:tblCellMar>
          <w:top w:w="0" w:type="dxa"/>
          <w:left w:w="108" w:type="dxa"/>
          <w:bottom w:w="0" w:type="dxa"/>
          <w:right w:w="108" w:type="dxa"/>
        </w:tblCellMar>
      </w:tblPr>
      <w:tblGrid>
        <w:gridCol w:w="4649"/>
        <w:gridCol w:w="4649"/>
      </w:tblGrid>
      <w:tr w14:paraId="297C81B9">
        <w:tblPrEx>
          <w:tblCellMar>
            <w:top w:w="0" w:type="dxa"/>
            <w:left w:w="108" w:type="dxa"/>
            <w:bottom w:w="0" w:type="dxa"/>
            <w:right w:w="108" w:type="dxa"/>
          </w:tblCellMar>
        </w:tblPrEx>
        <w:trPr>
          <w:jc w:val="center"/>
        </w:trPr>
        <w:tc>
          <w:tcPr>
            <w:tcW w:w="4649" w:type="dxa"/>
            <w:vAlign w:val="center"/>
          </w:tcPr>
          <w:p w14:paraId="757E5921">
            <w:pPr>
              <w:jc w:val="center"/>
            </w:pPr>
            <w:r>
              <w:drawing>
                <wp:inline distT="0" distB="0" distL="114300" distR="114300">
                  <wp:extent cx="2537460" cy="1713865"/>
                  <wp:effectExtent l="0" t="0" r="1524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2538000" cy="1713974"/>
                          </a:xfrm>
                          <a:prstGeom prst="rect">
                            <a:avLst/>
                          </a:prstGeom>
                        </pic:spPr>
                      </pic:pic>
                    </a:graphicData>
                  </a:graphic>
                </wp:inline>
              </w:drawing>
            </w:r>
          </w:p>
        </w:tc>
        <w:tc>
          <w:tcPr>
            <w:tcW w:w="4649" w:type="dxa"/>
            <w:vAlign w:val="center"/>
          </w:tcPr>
          <w:p w14:paraId="37E89E97">
            <w:pPr>
              <w:jc w:val="center"/>
            </w:pPr>
            <w:r>
              <w:drawing>
                <wp:inline distT="0" distB="0" distL="114300" distR="114300">
                  <wp:extent cx="2537460" cy="1699260"/>
                  <wp:effectExtent l="0" t="0" r="15240" b="152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2538000" cy="1699325"/>
                          </a:xfrm>
                          <a:prstGeom prst="rect">
                            <a:avLst/>
                          </a:prstGeom>
                        </pic:spPr>
                      </pic:pic>
                    </a:graphicData>
                  </a:graphic>
                </wp:inline>
              </w:drawing>
            </w:r>
          </w:p>
        </w:tc>
      </w:tr>
      <w:tr w14:paraId="208C9EA0">
        <w:tblPrEx>
          <w:tblCellMar>
            <w:top w:w="0" w:type="dxa"/>
            <w:left w:w="108" w:type="dxa"/>
            <w:bottom w:w="0" w:type="dxa"/>
            <w:right w:w="108" w:type="dxa"/>
          </w:tblCellMar>
        </w:tblPrEx>
        <w:trPr>
          <w:jc w:val="center"/>
        </w:trPr>
        <w:tc>
          <w:tcPr>
            <w:tcW w:w="4649" w:type="dxa"/>
            <w:vAlign w:val="center"/>
          </w:tcPr>
          <w:p w14:paraId="64F43D67">
            <w:pPr>
              <w:jc w:val="center"/>
            </w:pPr>
            <w:r>
              <w:rPr>
                <w:rFonts w:ascii="宋体" w:hAnsi="宋体" w:eastAsia="宋体"/>
                <w:sz w:val="19"/>
              </w:rPr>
              <w:t>图9 第四象限逆时针圆弧插补轨迹</w:t>
            </w:r>
          </w:p>
        </w:tc>
        <w:tc>
          <w:tcPr>
            <w:tcW w:w="4649" w:type="dxa"/>
            <w:vAlign w:val="center"/>
          </w:tcPr>
          <w:p w14:paraId="1CD696B3">
            <w:pPr>
              <w:jc w:val="center"/>
            </w:pPr>
            <w:r>
              <w:rPr>
                <w:rFonts w:ascii="宋体" w:hAnsi="宋体" w:eastAsia="宋体"/>
                <w:sz w:val="19"/>
              </w:rPr>
              <w:t>图10 第四象限顺时针圆弧插补轨迹</w:t>
            </w:r>
          </w:p>
        </w:tc>
      </w:tr>
    </w:tbl>
    <w:p w14:paraId="7C84596C"/>
    <w:p w14:paraId="68215936">
      <w:pPr>
        <w:spacing w:before="120" w:after="60"/>
      </w:pPr>
      <w:r>
        <w:rPr>
          <w:rFonts w:ascii="黑体" w:hAnsi="黑体" w:eastAsia="黑体"/>
          <w:b/>
          <w:sz w:val="24"/>
        </w:rPr>
        <w:t>4.3 测试坐标与结果说明</w:t>
      </w:r>
    </w:p>
    <w:p w14:paraId="3EC0A8AF">
      <w:pPr>
        <w:spacing w:after="80" w:line="360" w:lineRule="auto"/>
        <w:ind w:firstLine="720" w:firstLineChars="0"/>
        <w:jc w:val="both"/>
      </w:pPr>
      <w:r>
        <w:rPr>
          <w:rFonts w:ascii="宋体" w:hAnsi="宋体" w:eastAsia="宋体"/>
          <w:sz w:val="24"/>
        </w:rPr>
        <w:t>从实验结果可以看出，程序能够根据起点、终点和圆弧方向在对应象限中生成正确的圆弧走步轨迹。八种测试均能到达给定终点，说明偏差判别、进给方向选择和终点计数逻辑基本正确。</w:t>
      </w:r>
    </w:p>
    <w:p w14:paraId="55452ACC">
      <w:pPr>
        <w:spacing w:after="80" w:line="360" w:lineRule="auto"/>
        <w:ind w:firstLine="420"/>
        <w:jc w:val="both"/>
      </w:pPr>
      <w:r>
        <w:rPr>
          <w:rFonts w:ascii="宋体" w:hAnsi="宋体" w:eastAsia="宋体"/>
          <w:sz w:val="24"/>
        </w:rPr>
        <w:t>由于逐点比较法本质上是用离散坐标点逼近连续圆弧，因此轨迹呈现出一定的阶梯状。半径较大时，阶梯状不明显，曲线更接近理想圆弧；半径较小时，相邻走步之间的方向变化更明显，轨迹的锯齿感更强。实际应用中应根据加工精度和程序运行效率合理选择坐标单位和步长。</w:t>
      </w:r>
    </w:p>
    <w:p w14:paraId="5E2755CE">
      <w:pPr>
        <w:spacing w:before="240" w:after="160"/>
      </w:pPr>
      <w:r>
        <w:rPr>
          <w:rFonts w:ascii="黑体" w:hAnsi="黑体" w:eastAsia="黑体"/>
          <w:b/>
          <w:sz w:val="28"/>
        </w:rPr>
        <w:t>五、心得总结</w:t>
      </w:r>
      <w:bookmarkStart w:id="0" w:name="_GoBack"/>
      <w:bookmarkEnd w:id="0"/>
    </w:p>
    <w:p w14:paraId="27E4B27C">
      <w:pPr>
        <w:spacing w:after="80" w:line="360" w:lineRule="auto"/>
        <w:ind w:firstLine="420"/>
        <w:jc w:val="both"/>
      </w:pPr>
      <w:r>
        <w:rPr>
          <w:rFonts w:ascii="宋体" w:hAnsi="宋体" w:eastAsia="宋体"/>
          <w:sz w:val="24"/>
        </w:rPr>
        <w:t>通过本次实验，我进一步理解了圆弧插补与直线插补之间的联系。两者都以逐点比较和偏差修正为核心思想，但圆弧插补需要同时考虑象限、顺逆方向以及当前偏差符号，因此逻辑判断比直线插补更复杂。</w:t>
      </w:r>
    </w:p>
    <w:p w14:paraId="02362415">
      <w:pPr>
        <w:spacing w:after="80" w:line="360" w:lineRule="auto"/>
        <w:ind w:firstLine="420"/>
        <w:jc w:val="both"/>
      </w:pPr>
      <w:r>
        <w:rPr>
          <w:rFonts w:ascii="宋体" w:hAnsi="宋体" w:eastAsia="宋体"/>
          <w:sz w:val="24"/>
        </w:rPr>
        <w:t>在程序实现过程中，关键是把“偏差判别、坐标进给、偏差计算、坐标更新、终点判断”这几个步骤严格按顺序组织起来。只要公式和进给方向选择正确，程序就可以将连续圆弧转化为一系列离散的走步点。</w:t>
      </w:r>
    </w:p>
    <w:p w14:paraId="1DD4A37F">
      <w:pPr>
        <w:spacing w:after="80" w:line="360" w:lineRule="auto"/>
        <w:ind w:firstLine="420"/>
        <w:jc w:val="both"/>
      </w:pPr>
      <w:r>
        <w:rPr>
          <w:rFonts w:ascii="宋体" w:hAnsi="宋体" w:eastAsia="宋体"/>
          <w:sz w:val="24"/>
        </w:rPr>
        <w:t>本次实验也让我认识到，插补精度与计算效率之间存在取舍关系。步长较小时轨迹更平滑，但计算次数更多；步长较大时程序运行更快，但轨迹会更明显地呈现阶梯状。以后在学习数控加工和运动控制相关内容时，需要结合具体精度要求来选择合适的插补参数。</w:t>
      </w:r>
    </w:p>
    <w:sectPr>
      <w:pgSz w:w="11906" w:h="16838"/>
      <w:pgMar w:top="1247" w:right="1247" w:bottom="1134"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Droid Sans Fallback">
    <w:panose1 w:val="020B0502000000000001"/>
    <w:charset w:val="86"/>
    <w:family w:val="auto"/>
    <w:pitch w:val="default"/>
    <w:sig w:usb0="910002FF" w:usb1="2BDFFCFB" w:usb2="00000036" w:usb3="00000000" w:csb0="203F01FF" w:csb1="D7FF0000"/>
  </w:font>
  <w:font w:name="Cambria">
    <w:altName w:val="Georgia"/>
    <w:panose1 w:val="02040503050406030204"/>
    <w:charset w:val="00"/>
    <w:family w:val="auto"/>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ＭＳ 明朝">
    <w:altName w:val="Gubbi"/>
    <w:panose1 w:val="00000000000000000000"/>
    <w:charset w:val="80"/>
    <w:family w:val="roman"/>
    <w:pitch w:val="default"/>
    <w:sig w:usb0="00000000" w:usb1="00000000" w:usb2="00000010" w:usb3="00000000" w:csb0="00020000" w:csb1="00000000"/>
  </w:font>
  <w:font w:name="ＭＳ 明朝">
    <w:altName w:val="Gubbi"/>
    <w:panose1 w:val="00000000000000000000"/>
    <w:charset w:val="86"/>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ＭＳ ゴシック">
    <w:altName w:val="Gubbi"/>
    <w:panose1 w:val="00000000000000000000"/>
    <w:charset w:val="80"/>
    <w:family w:val="modern"/>
    <w:pitch w:val="default"/>
    <w:sig w:usb0="00000000" w:usb1="00000000" w:usb2="00000010" w:usb3="00000000" w:csb0="00020000" w:csb1="00000000"/>
  </w:font>
  <w:font w:name="ＭＳ 明朝">
    <w:altName w:val="Gubbi"/>
    <w:panose1 w:val="00000000000000000000"/>
    <w:charset w:val="00"/>
    <w:family w:val="auto"/>
    <w:pitch w:val="default"/>
    <w:sig w:usb0="00000000" w:usb1="00000000" w:usb2="00000000" w:usb3="00000000" w:csb0="00000000" w:csb1="00000000"/>
  </w:font>
  <w:font w:name="Webdings">
    <w:panose1 w:val="05030102010509060703"/>
    <w:charset w:val="00"/>
    <w:family w:val="auto"/>
    <w:pitch w:val="default"/>
    <w:sig w:usb0="00000000" w:usb1="00000000" w:usb2="00000000" w:usb3="00000000" w:csb0="80000000" w:csb1="00000000"/>
  </w:font>
  <w:font w:name="Courier">
    <w:panose1 w:val="00000000000000000000"/>
    <w:charset w:val="00"/>
    <w:family w:val="auto"/>
    <w:pitch w:val="default"/>
    <w:sig w:usb0="00000000" w:usb1="00000000" w:usb2="00000000" w:usb3="00000000" w:csb0="00000000" w:csb1="00000000"/>
  </w:font>
  <w:font w:name="黑体">
    <w:altName w:val="Droid Sans Fallback"/>
    <w:panose1 w:val="00000000000000000000"/>
    <w:charset w:val="00"/>
    <w:family w:val="auto"/>
    <w:pitch w:val="default"/>
    <w:sig w:usb0="00000000" w:usb1="00000000" w:usb2="00000000" w:usb3="00000000" w:csb0="00000000" w:csb1="00000000"/>
  </w:font>
  <w:font w:name="ＭＳ ゴシック">
    <w:altName w:val="Gubbi"/>
    <w:panose1 w:val="00000000000000000000"/>
    <w:charset w:val="00"/>
    <w:family w:val="auto"/>
    <w:pitch w:val="default"/>
    <w:sig w:usb0="00000000" w:usb1="00000000" w:usb2="00000000" w:usb3="00000000" w:csb0="00000000" w:csb1="00000000"/>
  </w:font>
  <w:font w:name="文鼎ＰＬ简中楷">
    <w:panose1 w:val="02010600030101010101"/>
    <w:charset w:val="86"/>
    <w:family w:val="auto"/>
    <w:pitch w:val="default"/>
    <w:sig w:usb0="00000001" w:usb1="080E0000" w:usb2="00000000" w:usb3="00000000" w:csb0="00040000" w:csb1="00000000"/>
  </w:font>
  <w:font w:name="OpenSymbol">
    <w:panose1 w:val="05010000000000000000"/>
    <w:charset w:val="00"/>
    <w:family w:val="auto"/>
    <w:pitch w:val="default"/>
    <w:sig w:usb0="800000AF" w:usb1="1001ECEA" w:usb2="00000000" w:usb3="00000000" w:csb0="80000001" w:csb1="00000000"/>
  </w:font>
  <w:font w:name="微软雅黑">
    <w:altName w:val="Droid Sans Fallbac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D99592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Office_12.1.2.25838_F1E327BC-269C-435d-A152-05C5408002CA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南柯</cp:lastModifiedBy>
  <dcterms:modified xsi:type="dcterms:W3CDTF">2026-05-18T08:50:19Z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2052-12.1.2.25838</vt:lpwstr>
  </property>
  <property fmtid="{D5CDD505-2E9C-101B-9397-08002B2CF9AE}" pid="3" name="ICV">
    <vt:lpwstr>65DE4AB2C581C4E84B620A6ADF14307C_42</vt:lpwstr>
  </property>
</Properties>
</file>