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DC167" w14:textId="77777777" w:rsidR="008820FF" w:rsidRDefault="008820FF" w:rsidP="008820FF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</w:pPr>
      <w:bookmarkStart w:id="0" w:name="_Toc30675"/>
      <w:r>
        <w:rPr>
          <w:rFonts w:ascii="宋体" w:eastAsia="宋体" w:hAnsi="宋体" w:hint="eastAsia"/>
          <w:b/>
          <w:sz w:val="30"/>
          <w:szCs w:val="30"/>
        </w:rPr>
        <w:t>实验二 逆向运动学</w:t>
      </w:r>
      <w:bookmarkEnd w:id="0"/>
    </w:p>
    <w:p w14:paraId="4E315F70" w14:textId="77777777" w:rsidR="008820FF" w:rsidRDefault="008820FF" w:rsidP="008820FF">
      <w:pPr>
        <w:pStyle w:val="a9"/>
        <w:widowControl/>
        <w:numPr>
          <w:ilvl w:val="0"/>
          <w:numId w:val="3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1" w:name="_Toc10509"/>
      <w:r>
        <w:rPr>
          <w:rFonts w:ascii="宋体" w:eastAsia="宋体" w:hAnsi="宋体" w:hint="eastAsia"/>
          <w:b/>
          <w:sz w:val="28"/>
          <w:szCs w:val="28"/>
        </w:rPr>
        <w:t>实验原理</w:t>
      </w:r>
      <w:bookmarkEnd w:id="1"/>
    </w:p>
    <w:p w14:paraId="57272F6A" w14:textId="77777777" w:rsidR="008820FF" w:rsidRDefault="008820FF" w:rsidP="008820FF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2" w:name="_Toc3228"/>
      <w:r>
        <w:rPr>
          <w:b/>
          <w:bCs/>
          <w:lang w:eastAsia="zh-CN"/>
        </w:rPr>
        <w:t>逆向运动学的定义与数学描述</w:t>
      </w:r>
      <w:bookmarkEnd w:id="2"/>
    </w:p>
    <w:p w14:paraId="1552ECA6" w14:textId="77777777" w:rsidR="008820FF" w:rsidRDefault="008820FF" w:rsidP="008820FF">
      <w:pPr>
        <w:jc w:val="center"/>
      </w:pPr>
      <w:r>
        <w:rPr>
          <w:noProof/>
        </w:rPr>
        <w:drawing>
          <wp:inline distT="0" distB="0" distL="0" distR="0" wp14:anchorId="4C17C886" wp14:editId="47748FDA">
            <wp:extent cx="1711960" cy="19532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5601" cy="19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4870" w14:textId="77777777" w:rsidR="008820FF" w:rsidRDefault="008820FF" w:rsidP="008820FF">
      <w:pPr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逆向运动学</w:t>
      </w:r>
      <w:r>
        <w:rPr>
          <w:rFonts w:hint="eastAsia"/>
          <w:b/>
          <w:bCs/>
        </w:rPr>
        <w:t>解析式</w:t>
      </w:r>
      <w:r>
        <w:rPr>
          <w:rFonts w:hint="eastAsia"/>
        </w:rPr>
        <w:t>表示</w:t>
      </w:r>
    </w:p>
    <w:p w14:paraId="14E0CA01" w14:textId="77777777" w:rsidR="008820FF" w:rsidRDefault="008820FF" w:rsidP="008820FF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逆向运动学（Inverse Kinematics, IK）</w:t>
      </w:r>
      <w:r>
        <w:rPr>
          <w:rFonts w:ascii="宋体" w:eastAsia="宋体" w:hAnsi="宋体"/>
        </w:rPr>
        <w:t xml:space="preserve">是机器人运动控制系统的核心环节。与正向运动学根据关节角求解末端位姿不同，逆向运动学是已知机械臂末端执行器在基坐标系下的期望目标位姿（由位置向量 </w:t>
      </w:r>
      <m:oMath>
        <m:r>
          <w:rPr>
            <w:rFonts w:ascii="Cambria Math" w:eastAsia="宋体" w:hAnsi="Cambria Math"/>
          </w:rPr>
          <m:t>P</m:t>
        </m:r>
      </m:oMath>
      <w:r>
        <w:rPr>
          <w:rFonts w:ascii="宋体" w:eastAsia="宋体" w:hAnsi="宋体"/>
        </w:rPr>
        <w:t xml:space="preserve"> 和旋转矩阵 </w:t>
      </w:r>
      <m:oMath>
        <m:r>
          <w:rPr>
            <w:rFonts w:ascii="Cambria Math" w:eastAsia="宋体" w:hAnsi="Cambria Math"/>
          </w:rPr>
          <m:t>R</m:t>
        </m:r>
      </m:oMath>
      <w:r>
        <w:rPr>
          <w:rFonts w:ascii="宋体" w:eastAsia="宋体" w:hAnsi="宋体"/>
        </w:rPr>
        <w:t xml:space="preserve"> 构成的齐次变换矩阵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goal</m:t>
            </m:r>
          </m:sub>
        </m:sSub>
      </m:oMath>
      <w:r>
        <w:rPr>
          <w:rFonts w:ascii="宋体" w:eastAsia="宋体" w:hAnsi="宋体"/>
        </w:rPr>
        <w:t>），反</w:t>
      </w:r>
      <w:proofErr w:type="gramStart"/>
      <w:r>
        <w:rPr>
          <w:rFonts w:ascii="宋体" w:eastAsia="宋体" w:hAnsi="宋体"/>
        </w:rPr>
        <w:t>求能够</w:t>
      </w:r>
      <w:proofErr w:type="gramEnd"/>
      <w:r>
        <w:rPr>
          <w:rFonts w:ascii="宋体" w:eastAsia="宋体" w:hAnsi="宋体"/>
        </w:rPr>
        <w:t xml:space="preserve">实现该位姿的各关节角度变量 </w:t>
      </w:r>
      <m:oMath>
        <m:r>
          <m:rPr>
            <m:sty m:val="p"/>
          </m:rPr>
          <w:rPr>
            <w:rFonts w:ascii="Cambria Math" w:eastAsia="宋体" w:hAnsi="Cambria Math" w:hint="eastAsia"/>
          </w:rPr>
          <m:t>Θ</m:t>
        </m:r>
      </m:oMath>
      <w:r>
        <w:rPr>
          <w:rFonts w:ascii="宋体" w:eastAsia="宋体" w:hAnsi="宋体"/>
        </w:rPr>
        <w:t>。</w:t>
      </w:r>
    </w:p>
    <w:p w14:paraId="0EB24FA0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若将实验一中建立的正向运动学模型简记为映射函数 </w:t>
      </w:r>
      <m:oMath>
        <m:r>
          <w:rPr>
            <w:rFonts w:ascii="Cambria Math" w:eastAsia="宋体" w:hAnsi="Cambria Math"/>
          </w:rPr>
          <m:t>f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hint="eastAsia"/>
              </w:rPr>
              <m:t>Θ</m:t>
            </m:r>
          </m:e>
        </m:d>
      </m:oMath>
      <w:r>
        <w:rPr>
          <w:rFonts w:ascii="宋体" w:eastAsia="宋体" w:hAnsi="宋体"/>
        </w:rPr>
        <w:t>，则逆向运动学问题可描述为求解以下非线性方程组：</w:t>
      </w:r>
    </w:p>
    <w:p w14:paraId="69A556A2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m:t>Θ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goal</m:t>
                  </m:r>
                </m:sub>
              </m:sSub>
            </m:e>
          </m:d>
        </m:oMath>
      </m:oMathPara>
    </w:p>
    <w:p w14:paraId="06F976D2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其中，关节角向量 </w:t>
      </w:r>
      <m:oMath>
        <m:r>
          <m:rPr>
            <m:sty m:val="p"/>
          </m:rPr>
          <w:rPr>
            <w:rFonts w:ascii="Cambria Math" w:eastAsia="宋体" w:hAnsi="Cambria Math" w:hint="eastAsia"/>
          </w:rPr>
          <m:t>Θ</m:t>
        </m:r>
      </m:oMath>
      <w:r>
        <w:rPr>
          <w:rFonts w:ascii="宋体" w:eastAsia="宋体" w:hAnsi="宋体"/>
        </w:rPr>
        <w:t xml:space="preserve"> 包含六个关节变量：</w:t>
      </w:r>
    </w:p>
    <w:p w14:paraId="2B501455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m:t>Θ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6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</m:oMath>
      </m:oMathPara>
    </w:p>
    <w:p w14:paraId="3A28C3A4" w14:textId="77777777" w:rsidR="008820FF" w:rsidRDefault="008820FF" w:rsidP="008820FF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3" w:name="_Toc15659"/>
      <w:r>
        <w:rPr>
          <w:b/>
          <w:bCs/>
          <w:lang w:eastAsia="zh-CN"/>
        </w:rPr>
        <w:t>求解方法：从数值迭代到工业标准</w:t>
      </w:r>
      <w:bookmarkEnd w:id="3"/>
    </w:p>
    <w:p w14:paraId="48E63E59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机器人逆运动学的求解主要分为</w:t>
      </w:r>
      <w:r>
        <w:rPr>
          <w:rFonts w:ascii="宋体" w:eastAsia="宋体" w:hAnsi="宋体"/>
          <w:b/>
          <w:bCs/>
        </w:rPr>
        <w:t>解析法</w:t>
      </w:r>
      <w:r>
        <w:rPr>
          <w:rFonts w:ascii="宋体" w:eastAsia="宋体" w:hAnsi="宋体"/>
        </w:rPr>
        <w:t>和</w:t>
      </w:r>
      <w:r>
        <w:rPr>
          <w:rFonts w:ascii="宋体" w:eastAsia="宋体" w:hAnsi="宋体"/>
          <w:b/>
          <w:bCs/>
        </w:rPr>
        <w:t>数值法</w:t>
      </w:r>
      <w:r>
        <w:rPr>
          <w:rFonts w:ascii="宋体" w:eastAsia="宋体" w:hAnsi="宋体"/>
        </w:rPr>
        <w:t>两大类。</w:t>
      </w:r>
    </w:p>
    <w:p w14:paraId="43F2B905" w14:textId="77777777" w:rsidR="008820FF" w:rsidRDefault="008820FF" w:rsidP="008820FF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解析法与工业标准（</w:t>
      </w:r>
      <w:proofErr w:type="spellStart"/>
      <w:r>
        <w:rPr>
          <w:rFonts w:ascii="宋体" w:eastAsia="宋体" w:hAnsi="宋体"/>
          <w:b/>
          <w:bCs/>
        </w:rPr>
        <w:t>MoveIt</w:t>
      </w:r>
      <w:proofErr w:type="spellEnd"/>
      <w:r>
        <w:rPr>
          <w:rFonts w:ascii="宋体" w:eastAsia="宋体" w:hAnsi="宋体"/>
          <w:b/>
          <w:bCs/>
        </w:rPr>
        <w:t>/</w:t>
      </w:r>
      <w:proofErr w:type="spellStart"/>
      <w:r>
        <w:rPr>
          <w:rFonts w:ascii="宋体" w:eastAsia="宋体" w:hAnsi="宋体"/>
          <w:b/>
          <w:bCs/>
        </w:rPr>
        <w:t>IKFast</w:t>
      </w:r>
      <w:proofErr w:type="spellEnd"/>
      <w:r>
        <w:rPr>
          <w:rFonts w:ascii="宋体" w:eastAsia="宋体" w:hAnsi="宋体"/>
          <w:b/>
          <w:bCs/>
        </w:rPr>
        <w:t>）</w:t>
      </w:r>
      <w:r>
        <w:rPr>
          <w:rFonts w:ascii="宋体" w:eastAsia="宋体" w:hAnsi="宋体" w:hint="eastAsia"/>
        </w:rPr>
        <w:t xml:space="preserve">  </w:t>
      </w:r>
    </w:p>
    <w:p w14:paraId="51B0C2BE" w14:textId="77777777" w:rsidR="008820FF" w:rsidRDefault="008820FF" w:rsidP="008820FF">
      <w:pPr>
        <w:jc w:val="center"/>
      </w:pPr>
      <w:r>
        <w:rPr>
          <w:noProof/>
        </w:rPr>
        <w:lastRenderedPageBreak/>
        <w:drawing>
          <wp:inline distT="0" distB="0" distL="0" distR="0" wp14:anchorId="5DBF697F" wp14:editId="133F1C09">
            <wp:extent cx="3865245" cy="2632075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2702" cy="26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C945" w14:textId="77777777" w:rsidR="008820FF" w:rsidRDefault="008820FF" w:rsidP="008820FF">
      <w:pPr>
        <w:pStyle w:val="af4"/>
        <w:jc w:val="center"/>
        <w:rPr>
          <w:rFonts w:ascii="Arial" w:hAnsi="Arial" w:cs="Arial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ROS</w:t>
      </w:r>
      <w:r>
        <w:rPr>
          <w:rFonts w:hint="eastAsia"/>
        </w:rPr>
        <w:t>常用求解析解的工具箱</w:t>
      </w:r>
      <w:proofErr w:type="spellStart"/>
      <w:r>
        <w:rPr>
          <w:rFonts w:hint="eastAsia"/>
        </w:rPr>
        <w:t>MoveIt</w:t>
      </w:r>
      <w:proofErr w:type="spellEnd"/>
    </w:p>
    <w:p w14:paraId="7BD51229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解析法旨在通过代数或几何推导获得封闭解。在现代机器人工业开发中（如ROS系统的</w:t>
      </w:r>
      <w:proofErr w:type="spellStart"/>
      <w:r>
        <w:rPr>
          <w:rFonts w:ascii="宋体" w:eastAsia="宋体" w:hAnsi="宋体"/>
        </w:rPr>
        <w:t>MoveIt</w:t>
      </w:r>
      <w:proofErr w:type="spellEnd"/>
      <w:r>
        <w:rPr>
          <w:rFonts w:ascii="宋体" w:eastAsia="宋体" w:hAnsi="宋体"/>
        </w:rPr>
        <w:t>!框架），为了追求极致的计算效率，通常采用</w:t>
      </w:r>
      <w:proofErr w:type="spellStart"/>
      <w:r>
        <w:rPr>
          <w:rFonts w:ascii="宋体" w:eastAsia="宋体" w:hAnsi="宋体"/>
        </w:rPr>
        <w:t>IKFast</w:t>
      </w:r>
      <w:proofErr w:type="spellEnd"/>
      <w:r>
        <w:rPr>
          <w:rFonts w:ascii="宋体" w:eastAsia="宋体" w:hAnsi="宋体"/>
        </w:rPr>
        <w:t>求解器。该工具能自动分析运动学链并生成优化的C++代码，在</w:t>
      </w:r>
      <w:proofErr w:type="gramStart"/>
      <w:r>
        <w:rPr>
          <w:rFonts w:ascii="宋体" w:eastAsia="宋体" w:hAnsi="宋体"/>
        </w:rPr>
        <w:t>微秒级时间</w:t>
      </w:r>
      <w:proofErr w:type="gramEnd"/>
      <w:r>
        <w:rPr>
          <w:rFonts w:ascii="宋体" w:eastAsia="宋体" w:hAnsi="宋体"/>
        </w:rPr>
        <w:t>内完成求解。</w:t>
      </w:r>
    </w:p>
    <w:p w14:paraId="3826B4A4" w14:textId="77777777" w:rsidR="008820FF" w:rsidRDefault="008820FF" w:rsidP="008820FF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数值法（本实验方法）</w:t>
      </w:r>
      <w:r>
        <w:rPr>
          <w:rFonts w:ascii="宋体" w:eastAsia="宋体" w:hAnsi="宋体" w:hint="eastAsia"/>
        </w:rPr>
        <w:t xml:space="preserve">  </w:t>
      </w:r>
    </w:p>
    <w:p w14:paraId="3FECDA42" w14:textId="77777777" w:rsidR="008820FF" w:rsidRDefault="008820FF" w:rsidP="008820FF">
      <w:pPr>
        <w:jc w:val="center"/>
      </w:pPr>
      <w:r>
        <w:rPr>
          <w:noProof/>
        </w:rPr>
        <w:drawing>
          <wp:inline distT="0" distB="0" distL="0" distR="0" wp14:anchorId="77233226" wp14:editId="1C47D471">
            <wp:extent cx="3964940" cy="263334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033" cy="263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F847" w14:textId="77777777" w:rsidR="008820FF" w:rsidRDefault="008820FF" w:rsidP="008820FF">
      <w:pPr>
        <w:pStyle w:val="af4"/>
        <w:jc w:val="center"/>
        <w:rPr>
          <w:rFonts w:ascii="宋体" w:eastAsia="宋体" w:hAnsi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工具箱</w:t>
      </w:r>
      <w:r>
        <w:rPr>
          <w:rFonts w:hint="eastAsia"/>
          <w:b/>
          <w:bCs/>
        </w:rPr>
        <w:t>数值迭代法</w:t>
      </w:r>
      <w:r>
        <w:rPr>
          <w:rFonts w:hint="eastAsia"/>
        </w:rPr>
        <w:t>求解流程图</w:t>
      </w:r>
    </w:p>
    <w:p w14:paraId="07AAC7FD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本实验基于MATLAB机器人工具箱（</w:t>
      </w:r>
      <w:proofErr w:type="spellStart"/>
      <w:r>
        <w:rPr>
          <w:rFonts w:ascii="宋体" w:eastAsia="宋体" w:hAnsi="宋体"/>
        </w:rPr>
        <w:t>RoboticsToolbox</w:t>
      </w:r>
      <w:proofErr w:type="spellEnd"/>
      <w:r>
        <w:rPr>
          <w:rFonts w:ascii="宋体" w:eastAsia="宋体" w:hAnsi="宋体"/>
        </w:rPr>
        <w:t>）采用数值迭代法求解。该方法不依赖特定的机械结构，而是基于微分运动学原理。其核心思想是利用雅可比矩阵</w:t>
      </w:r>
      <m:oMath>
        <m:r>
          <w:rPr>
            <w:rFonts w:ascii="Cambria Math" w:eastAsia="宋体" w:hAnsi="Cambria Math"/>
          </w:rPr>
          <m:t>J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w:rPr>
                <w:rFonts w:ascii="Cambria Math" w:eastAsia="宋体" w:hAnsi="Cambria Math"/>
              </w:rPr>
              <m:t>θ</m:t>
            </m:r>
          </m:e>
        </m:d>
      </m:oMath>
      <w:r>
        <w:rPr>
          <w:rFonts w:ascii="宋体" w:eastAsia="宋体" w:hAnsi="宋体"/>
        </w:rPr>
        <w:t>建立关节速度</w:t>
      </w:r>
      <m:oMath>
        <m:acc>
          <m:accPr>
            <m:chr m:val="̇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hint="eastAsia"/>
              </w:rPr>
              <m:t>Θ</m:t>
            </m:r>
          </m:e>
        </m:acc>
      </m:oMath>
      <w:r>
        <w:rPr>
          <w:rFonts w:ascii="宋体" w:eastAsia="宋体" w:hAnsi="宋体"/>
        </w:rPr>
        <w:t>与末端笛卡尔速度</w:t>
      </w:r>
      <m:oMath>
        <m:acc>
          <m:accPr>
            <m:chr m:val="̇"/>
            <m:ctrlPr>
              <w:rPr>
                <w:rFonts w:ascii="Cambria Math" w:eastAsia="宋体" w:hAnsi="Cambria Math"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</m:oMath>
      <w:r>
        <w:rPr>
          <w:rFonts w:ascii="宋体" w:eastAsia="宋体" w:hAnsi="宋体"/>
        </w:rPr>
        <w:t>之间的线性关系：</w:t>
      </w:r>
    </w:p>
    <w:p w14:paraId="3DC6E2B1" w14:textId="77777777" w:rsidR="008820FF" w:rsidRDefault="008820FF" w:rsidP="008820FF">
      <w:pPr>
        <w:pStyle w:val="af8"/>
        <w:spacing w:before="0" w:beforeAutospacing="0" w:line="400" w:lineRule="exact"/>
        <w:ind w:firstLineChars="200" w:firstLine="480"/>
        <w:jc w:val="both"/>
        <w:textAlignment w:val="center"/>
        <w:rPr>
          <w:rFonts w:ascii="Arial" w:hAnsi="Arial" w:cs="Arial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Arial"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w:rPr>
              <w:rFonts w:ascii="Cambria Math" w:hAnsi="Cambria Math" w:cs="Arial"/>
            </w:rPr>
            <m:t>=J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 w:hint="eastAsia"/>
                </w:rPr>
                <m:t>Θ</m:t>
              </m:r>
            </m:e>
          </m:d>
          <m:acc>
            <m:accPr>
              <m:chr m:val="̇"/>
              <m:ctrlPr>
                <w:rPr>
                  <w:rFonts w:ascii="Cambria Math" w:hAnsi="Cambria Math" w:cs="Arial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 w:hint="eastAsia"/>
                </w:rPr>
                <m:t>Θ</m:t>
              </m:r>
            </m:e>
          </m:acc>
        </m:oMath>
      </m:oMathPara>
    </w:p>
    <w:p w14:paraId="11F37978" w14:textId="77777777" w:rsidR="008820FF" w:rsidRDefault="008820FF" w:rsidP="008820FF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4" w:name="_Toc5879"/>
      <w:r>
        <w:rPr>
          <w:b/>
          <w:bCs/>
          <w:lang w:eastAsia="zh-CN"/>
        </w:rPr>
        <w:t>基于蒙特卡洛法的工作空间分析</w:t>
      </w:r>
      <w:bookmarkEnd w:id="4"/>
    </w:p>
    <w:p w14:paraId="4487A9EA" w14:textId="77777777" w:rsidR="008820FF" w:rsidRDefault="008820FF" w:rsidP="008820FF">
      <w:pPr>
        <w:jc w:val="center"/>
      </w:pPr>
      <w:r>
        <w:rPr>
          <w:noProof/>
        </w:rPr>
        <w:lastRenderedPageBreak/>
        <w:drawing>
          <wp:inline distT="0" distB="0" distL="0" distR="0" wp14:anchorId="0AADB79D" wp14:editId="4569BD3A">
            <wp:extent cx="2346325" cy="214439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5518" cy="215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4E20" w14:textId="77777777" w:rsidR="008820FF" w:rsidRDefault="008820FF" w:rsidP="008820FF">
      <w:pPr>
        <w:pStyle w:val="af4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蒙特卡洛方法</w:t>
      </w:r>
      <w:r>
        <w:rPr>
          <w:rFonts w:hint="eastAsia"/>
          <w:b/>
          <w:bCs/>
        </w:rPr>
        <w:t>求解可达空间</w:t>
      </w:r>
      <w:r>
        <w:rPr>
          <w:rFonts w:hint="eastAsia"/>
        </w:rPr>
        <w:t>示例</w:t>
      </w:r>
    </w:p>
    <w:p w14:paraId="2557EC7B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为了验证逆运动学的有效求解范围，实验采用</w:t>
      </w:r>
      <w:r>
        <w:rPr>
          <w:rFonts w:ascii="宋体" w:eastAsia="宋体" w:hAnsi="宋体"/>
          <w:b/>
          <w:bCs/>
        </w:rPr>
        <w:t>蒙特卡洛方法</w:t>
      </w:r>
      <w:r>
        <w:rPr>
          <w:rFonts w:ascii="宋体" w:eastAsia="宋体" w:hAnsi="宋体"/>
        </w:rPr>
        <w:t>（Monte Carlo） 分析机械臂的可达工作空间（Workspace）。</w:t>
      </w:r>
    </w:p>
    <w:p w14:paraId="3917EFC5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该方法在各关节的物理限制范围 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θ</m:t>
                </m:r>
              </m:e>
              <m:sub>
                <m:r>
                  <w:rPr>
                    <w:rFonts w:ascii="Cambria Math" w:eastAsia="宋体" w:hAnsi="Cambria Math"/>
                  </w:rPr>
                  <m:t>min</m:t>
                </m:r>
              </m:sub>
            </m:sSub>
            <m:r>
              <w:rPr>
                <w:rFonts w:ascii="Cambria Math" w:eastAsia="宋体" w:hAnsi="Cambria Math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θ</m:t>
                </m:r>
              </m:e>
              <m:sub>
                <m:r>
                  <w:rPr>
                    <w:rFonts w:ascii="Cambria Math" w:eastAsia="宋体" w:hAnsi="Cambria Math"/>
                  </w:rPr>
                  <m:t>max</m:t>
                </m:r>
              </m:sub>
            </m:sSub>
          </m:e>
        </m:d>
      </m:oMath>
      <w:r>
        <w:rPr>
          <w:rFonts w:ascii="宋体" w:eastAsia="宋体" w:hAnsi="宋体"/>
        </w:rPr>
        <w:t xml:space="preserve"> 内进行随机采样，生成大量随机关节角组合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</w:rPr>
              <m:t>Θ</m:t>
            </m:r>
            <m:ctrlPr>
              <w:rPr>
                <w:rFonts w:ascii="Cambria Math" w:eastAsia="宋体" w:hAnsi="Cambria Math" w:hint="eastAsia"/>
              </w:rPr>
            </m:ctrlPr>
          </m:e>
          <m:sub>
            <m:r>
              <w:rPr>
                <w:rFonts w:ascii="Cambria Math" w:eastAsia="宋体" w:hAnsi="Cambria Math"/>
              </w:rPr>
              <m:t>rand</m:t>
            </m:r>
          </m:sub>
        </m:sSub>
      </m:oMath>
      <w:r>
        <w:rPr>
          <w:rFonts w:ascii="宋体" w:eastAsia="宋体" w:hAnsi="宋体"/>
        </w:rPr>
        <w:t>，并通过正向运动学映射得到</w:t>
      </w:r>
      <w:proofErr w:type="gramStart"/>
      <w:r>
        <w:rPr>
          <w:rFonts w:ascii="宋体" w:eastAsia="宋体" w:hAnsi="宋体"/>
        </w:rPr>
        <w:t>末端点集</w:t>
      </w:r>
      <w:proofErr w:type="gramEnd"/>
      <w:r>
        <w:rPr>
          <w:rFonts w:ascii="宋体" w:eastAsia="宋体" w:hAnsi="宋体"/>
        </w:rPr>
        <w:t xml:space="preserve"> </w:t>
      </w:r>
      <m:oMath>
        <m:r>
          <m:rPr>
            <m:scr m:val="script"/>
          </m:rPr>
          <w:rPr>
            <w:rFonts w:ascii="Cambria Math" w:eastAsia="宋体" w:hAnsi="Cambria Math"/>
          </w:rPr>
          <m:t>W</m:t>
        </m:r>
      </m:oMath>
      <w:r>
        <w:rPr>
          <w:rFonts w:ascii="宋体" w:eastAsia="宋体" w:hAnsi="宋体"/>
        </w:rPr>
        <w:t>：</w:t>
      </w:r>
    </w:p>
    <w:p w14:paraId="66561E2C" w14:textId="77777777" w:rsidR="008820FF" w:rsidRDefault="008820FF" w:rsidP="008820FF">
      <m:oMathPara>
        <m:oMath>
          <m:r>
            <m:rPr>
              <m:scr m:val="script"/>
            </m:rPr>
            <w:rPr>
              <w:rFonts w:ascii="Cambria Math" w:hAnsi="Cambria Math"/>
            </w:rPr>
            <m:t>W=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 w:hint="eastAsia"/>
            </w:rPr>
            <m:t>∣</m:t>
          </m:r>
          <m:r>
            <w:rPr>
              <w:rFonts w:ascii="Cambria Math" w:hAnsi="Cambria Math"/>
            </w:rPr>
            <m:t>P=</m:t>
          </m:r>
          <m:r>
            <m:rPr>
              <m:nor/>
            </m:rPr>
            <w:rPr>
              <w:i/>
            </w:rPr>
            <m:t>FK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rand</m:t>
                  </m:r>
                </m:sub>
              </m:sSub>
            </m:e>
          </m:d>
          <m:r>
            <w:rPr>
              <w:rFonts w:ascii="Cambria Math" w:hAnsi="Cambria Math"/>
            </w:rPr>
            <m:t>, 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 w:hint="eastAsia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rand</m:t>
              </m:r>
            </m:sub>
          </m:sSub>
          <m:r>
            <w:rPr>
              <w:rFonts w:ascii="Cambria Math" w:hAnsi="Cambria Math" w:hint="eastAsia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10D07460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将集合 </w:t>
      </w:r>
      <m:oMath>
        <m:r>
          <m:rPr>
            <m:scr m:val="script"/>
          </m:rPr>
          <w:rPr>
            <w:rFonts w:ascii="Cambria Math" w:eastAsia="宋体" w:hAnsi="Cambria Math"/>
          </w:rPr>
          <m:t>W</m:t>
        </m:r>
      </m:oMath>
      <w:r>
        <w:rPr>
          <w:rFonts w:ascii="宋体" w:eastAsia="宋体" w:hAnsi="宋体"/>
        </w:rPr>
        <w:t xml:space="preserve"> 中的点在三维空间中绘制，即可得到实验仿真中所示的蓝色球形工作区域。若目标点位于该区域之外，则逆运动学无解。</w:t>
      </w:r>
    </w:p>
    <w:p w14:paraId="280D3A0E" w14:textId="77777777" w:rsidR="008820FF" w:rsidRDefault="008820FF" w:rsidP="008820FF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1E78E0E3" w14:textId="77777777" w:rsidR="008820FF" w:rsidRDefault="008820FF" w:rsidP="008820FF">
      <w:pPr>
        <w:pStyle w:val="a9"/>
        <w:widowControl/>
        <w:numPr>
          <w:ilvl w:val="0"/>
          <w:numId w:val="3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5" w:name="_Toc3996"/>
      <w:r>
        <w:rPr>
          <w:rFonts w:ascii="宋体" w:eastAsia="宋体" w:hAnsi="宋体" w:hint="eastAsia"/>
          <w:b/>
          <w:sz w:val="28"/>
          <w:szCs w:val="28"/>
        </w:rPr>
        <w:lastRenderedPageBreak/>
        <w:t>实验源程序</w:t>
      </w:r>
      <w:bookmarkEnd w:id="5"/>
    </w:p>
    <w:bookmarkStart w:id="6" w:name="_MON_1826200577"/>
    <w:bookmarkEnd w:id="6"/>
    <w:p w14:paraId="1E5827FA" w14:textId="77777777" w:rsidR="008820FF" w:rsidRDefault="008820FF" w:rsidP="008820FF">
      <w:pPr>
        <w:keepNext/>
      </w:pPr>
      <w:r>
        <w:object w:dxaOrig="9288" w:dyaOrig="10020" w14:anchorId="2037DD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4.55pt;height:501.45pt" o:ole="">
            <v:imagedata r:id="rId12" o:title=""/>
          </v:shape>
          <o:OLEObject Type="Embed" ProgID="Word.OpenDocumentText.12" ShapeID="_x0000_i1029" DrawAspect="Content" ObjectID="_1828445971" r:id="rId13"/>
        </w:object>
      </w:r>
    </w:p>
    <w:p w14:paraId="37026E8C" w14:textId="77777777" w:rsidR="008820FF" w:rsidRDefault="008820FF" w:rsidP="008820FF">
      <w:pPr>
        <w:pStyle w:val="af4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实验二——逆向运动学主要代码</w:t>
      </w:r>
    </w:p>
    <w:p w14:paraId="7357CAB2" w14:textId="77777777" w:rsidR="008820FF" w:rsidRDefault="008820FF" w:rsidP="008820FF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0A0806B4" w14:textId="77777777" w:rsidR="008820FF" w:rsidRDefault="008820FF" w:rsidP="008820FF">
      <w:pPr>
        <w:pStyle w:val="a9"/>
        <w:widowControl/>
        <w:numPr>
          <w:ilvl w:val="0"/>
          <w:numId w:val="3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7" w:name="_Toc31295"/>
      <w:r>
        <w:rPr>
          <w:rFonts w:ascii="宋体" w:eastAsia="宋体" w:hAnsi="宋体" w:hint="eastAsia"/>
          <w:b/>
          <w:sz w:val="28"/>
          <w:szCs w:val="28"/>
        </w:rPr>
        <w:lastRenderedPageBreak/>
        <w:t>实验过程和结果分析</w:t>
      </w:r>
      <w:bookmarkEnd w:id="7"/>
    </w:p>
    <w:p w14:paraId="70F5DA90" w14:textId="77777777" w:rsidR="008820FF" w:rsidRDefault="008820FF" w:rsidP="008820FF">
      <w:pPr>
        <w:jc w:val="center"/>
      </w:pPr>
      <w:r>
        <w:rPr>
          <w:noProof/>
        </w:rPr>
        <w:drawing>
          <wp:inline distT="0" distB="0" distL="0" distR="0" wp14:anchorId="048D46F2" wp14:editId="3AE76278">
            <wp:extent cx="4565650" cy="2654935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3923" cy="26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C8D7" w14:textId="77777777" w:rsidR="008820FF" w:rsidRDefault="008820FF" w:rsidP="008820FF">
      <w:pPr>
        <w:pStyle w:val="af4"/>
        <w:jc w:val="center"/>
        <w:rPr>
          <w:b/>
          <w:bCs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机械臂初始加载，</w:t>
      </w:r>
      <w:r>
        <w:rPr>
          <w:rFonts w:hint="eastAsia"/>
          <w:b/>
          <w:bCs/>
        </w:rPr>
        <w:t>可达空间</w:t>
      </w:r>
      <w:r>
        <w:rPr>
          <w:rFonts w:hint="eastAsia"/>
        </w:rPr>
        <w:t>显示为</w:t>
      </w:r>
      <w:r>
        <w:rPr>
          <w:rFonts w:hint="eastAsia"/>
          <w:b/>
          <w:bCs/>
        </w:rPr>
        <w:t>蓝色球形</w:t>
      </w:r>
    </w:p>
    <w:p w14:paraId="71FBA3C3" w14:textId="77777777" w:rsidR="008820FF" w:rsidRDefault="008820FF" w:rsidP="008820FF">
      <w:pPr>
        <w:spacing w:line="400" w:lineRule="exact"/>
        <w:ind w:firstLineChars="200" w:firstLine="420"/>
      </w:pPr>
      <w:r>
        <w:t>仿真界面中机械臂被包裹在一个蓝色的半透明球体区域内，如图 8 所示。该区域是基于本实验原理中阐述的</w:t>
      </w:r>
      <w:r>
        <w:rPr>
          <w:b/>
          <w:bCs/>
        </w:rPr>
        <w:t>蒙特卡洛方法（Monte Carlo Method）</w:t>
      </w:r>
      <w:r>
        <w:t xml:space="preserve"> 生成的。程序通过在各关节物理限制范围内（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≤Θ≤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>）进行大量的随机采样，并利用正向运动学方程将这些关节空间点</w:t>
      </w:r>
      <w:proofErr w:type="gramStart"/>
      <w:r>
        <w:t>映射至笛卡</w:t>
      </w:r>
      <w:proofErr w:type="gramEnd"/>
      <w:r>
        <w:t>尔空间，最终形成的点云集合直观地界定了机械臂的</w:t>
      </w:r>
      <w:r>
        <w:rPr>
          <w:b/>
          <w:bCs/>
        </w:rPr>
        <w:t>可达工作空间（Reachable Workspace）</w:t>
      </w:r>
      <w:r>
        <w:t>。该可视化结果为后续的逆向运动学求解提供了明确的几何边界参考。</w:t>
      </w:r>
    </w:p>
    <w:p w14:paraId="5DC670DD" w14:textId="77777777" w:rsidR="008820FF" w:rsidRDefault="008820FF" w:rsidP="008820FF">
      <w:pPr>
        <w:jc w:val="center"/>
      </w:pPr>
      <w:r>
        <w:rPr>
          <w:noProof/>
        </w:rPr>
        <w:drawing>
          <wp:inline distT="0" distB="0" distL="0" distR="0" wp14:anchorId="59B9640B" wp14:editId="383FDAA8">
            <wp:extent cx="4250055" cy="2517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2965" cy="25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C666" w14:textId="77777777" w:rsidR="008820FF" w:rsidRDefault="008820FF" w:rsidP="008820FF">
      <w:pPr>
        <w:pStyle w:val="af4"/>
        <w:jc w:val="center"/>
        <w:rPr>
          <w:b/>
          <w:bCs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末端执行器移动到目标点（</w:t>
      </w:r>
      <m:oMath>
        <m:r>
          <w:rPr>
            <w:rFonts w:ascii="Cambria Math" w:hAnsi="Cambria Math" w:hint="eastAsia"/>
          </w:rPr>
          <m:t>x,y,z</m:t>
        </m:r>
      </m:oMath>
      <w:r>
        <w:rPr>
          <w:rFonts w:hint="eastAsia"/>
        </w:rPr>
        <w:t>），</w:t>
      </w:r>
      <w:r>
        <w:rPr>
          <w:rFonts w:hint="eastAsia"/>
          <w:b/>
          <w:bCs/>
        </w:rPr>
        <w:t>运动曲线</w:t>
      </w:r>
      <w:r>
        <w:rPr>
          <w:rFonts w:hint="eastAsia"/>
        </w:rPr>
        <w:t>绘制为</w:t>
      </w:r>
      <w:r>
        <w:rPr>
          <w:rFonts w:hint="eastAsia"/>
          <w:b/>
          <w:bCs/>
        </w:rPr>
        <w:t>黄色曲线</w:t>
      </w:r>
    </w:p>
    <w:p w14:paraId="039BF10E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为了验证数值法逆运动学算法的收敛性与精度，实验在“逆向运动学（笛卡尔空间控制）”面板中设定了一组位于工作空间内部的目标坐标。我们将末端执行器的期望位置向量设置为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goal</m:t>
            </m:r>
          </m:sub>
        </m:sSub>
        <m: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i/>
                  </w:rPr>
                </m:ctrlPr>
              </m:dPr>
              <m:e>
                <m:r>
                  <w:rPr>
                    <w:rFonts w:ascii="Cambria Math" w:eastAsia="宋体" w:hAnsi="Cambria Math"/>
                  </w:rPr>
                  <m:t>0.15, 0.0, 0.25</m:t>
                </m:r>
              </m:e>
            </m:d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>
        <w:rPr>
          <w:rFonts w:ascii="宋体" w:eastAsia="宋体" w:hAnsi="宋体"/>
        </w:rPr>
        <w:t xml:space="preserve"> 米。点击执行后，系统利用雅可比矩阵迭代算法迅速计算出对应的关节角组合。如图 9 所示，机械臂在三维空间中绘制出一条黄色的运动轨迹并平滑到达</w:t>
      </w:r>
      <w:r>
        <w:rPr>
          <w:rFonts w:ascii="宋体" w:eastAsia="宋体" w:hAnsi="宋体"/>
        </w:rPr>
        <w:lastRenderedPageBreak/>
        <w:t>目标点 5。此时，界面显示的实时关节角度为：</w:t>
      </w:r>
    </w:p>
    <w:p w14:paraId="107B49D4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Θ</m:t>
              </m:r>
              <m:ctrlPr>
                <w:rPr>
                  <w:rFonts w:ascii="Cambria Math" w:eastAsia="宋体" w:hAnsi="Cambria Math" w:hint="eastAsia"/>
                </w:rPr>
              </m:ctrlPr>
            </m:e>
            <m:sub>
              <m:r>
                <w:rPr>
                  <w:rFonts w:ascii="Cambria Math" w:eastAsia="宋体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 w:hint="eastAsia"/>
            </w:rPr>
            <m:t>≈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42.3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77.3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63.7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147.8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37.0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0.0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</m:e>
              </m:d>
              <m:ctrlPr>
                <w:rPr>
                  <w:rFonts w:ascii="Cambria Math" w:eastAsia="宋体" w:hAnsi="Cambria Math"/>
                </w:rPr>
              </m:ctrlPr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</m:oMath>
      </m:oMathPara>
    </w:p>
    <w:p w14:paraId="64CC1624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系统反馈的末端实际位置为 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0.150, 0.000, 0.250</m:t>
            </m:r>
          </m:e>
        </m:d>
      </m:oMath>
      <w:r>
        <w:rPr>
          <w:rFonts w:ascii="宋体" w:eastAsia="宋体" w:hAnsi="宋体"/>
        </w:rPr>
        <w:t xml:space="preserve">，与设定目标完全一致，位置误差收敛至 0。这表明基于数值迭代的 </w:t>
      </w:r>
      <w:proofErr w:type="spellStart"/>
      <w:r>
        <w:rPr>
          <w:rFonts w:ascii="宋体" w:eastAsia="宋体" w:hAnsi="宋体"/>
        </w:rPr>
        <w:t>ikine</w:t>
      </w:r>
      <w:proofErr w:type="spellEnd"/>
      <w:r>
        <w:rPr>
          <w:rFonts w:ascii="宋体" w:eastAsia="宋体" w:hAnsi="宋体"/>
        </w:rPr>
        <w:t xml:space="preserve"> 算法能够在本实验建立的模型上实现高精度</w:t>
      </w:r>
      <w:proofErr w:type="gramStart"/>
      <w:r>
        <w:rPr>
          <w:rFonts w:ascii="宋体" w:eastAsia="宋体" w:hAnsi="宋体"/>
        </w:rPr>
        <w:t>的逆解运算</w:t>
      </w:r>
      <w:proofErr w:type="gramEnd"/>
      <w:r>
        <w:rPr>
          <w:rFonts w:ascii="宋体" w:eastAsia="宋体" w:hAnsi="宋体"/>
        </w:rPr>
        <w:t>。</w:t>
      </w:r>
    </w:p>
    <w:p w14:paraId="047A51E7" w14:textId="77777777" w:rsidR="008820FF" w:rsidRDefault="008820FF" w:rsidP="008820FF">
      <w:pPr>
        <w:jc w:val="center"/>
      </w:pPr>
      <w:r>
        <w:rPr>
          <w:noProof/>
        </w:rPr>
        <w:drawing>
          <wp:inline distT="0" distB="0" distL="0" distR="0" wp14:anchorId="04B41EA6" wp14:editId="0D0881F3">
            <wp:extent cx="3679190" cy="237744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7266" cy="23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B0D4" w14:textId="77777777" w:rsidR="008820FF" w:rsidRDefault="008820FF" w:rsidP="008820FF">
      <w:pPr>
        <w:pStyle w:val="af4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与图</w:t>
      </w:r>
      <w:r>
        <w:rPr>
          <w:rFonts w:hint="eastAsia"/>
        </w:rPr>
        <w:t>9</w:t>
      </w:r>
      <w:r>
        <w:rPr>
          <w:rFonts w:hint="eastAsia"/>
        </w:rPr>
        <w:t>设置同一目标位置，以不同姿态到达</w:t>
      </w:r>
    </w:p>
    <w:p w14:paraId="4020B1C6" w14:textId="77777777" w:rsidR="008820FF" w:rsidRDefault="008820FF" w:rsidP="008820FF">
      <w:pPr>
        <w:spacing w:line="400" w:lineRule="exact"/>
        <w:ind w:firstLineChars="200" w:firstLine="422"/>
        <w:rPr>
          <w:rFonts w:ascii="宋体" w:eastAsia="宋体" w:hAnsi="宋体"/>
          <w:b/>
          <w:bCs/>
        </w:rPr>
      </w:pPr>
      <w:proofErr w:type="gramStart"/>
      <w:r>
        <w:rPr>
          <w:rFonts w:ascii="宋体" w:eastAsia="宋体" w:hAnsi="宋体"/>
          <w:b/>
          <w:bCs/>
        </w:rPr>
        <w:t>逆解的</w:t>
      </w:r>
      <w:proofErr w:type="gramEnd"/>
      <w:r>
        <w:rPr>
          <w:rFonts w:ascii="宋体" w:eastAsia="宋体" w:hAnsi="宋体"/>
          <w:b/>
          <w:bCs/>
        </w:rPr>
        <w:t>多解性与Mask向量分析</w:t>
      </w:r>
      <w:r>
        <w:rPr>
          <w:rFonts w:ascii="宋体" w:eastAsia="宋体" w:hAnsi="宋体" w:hint="eastAsia"/>
          <w:b/>
          <w:bCs/>
        </w:rPr>
        <w:t xml:space="preserve">  </w:t>
      </w:r>
    </w:p>
    <w:p w14:paraId="4150BCF7" w14:textId="77777777" w:rsidR="008820FF" w:rsidRDefault="008820FF" w:rsidP="008820FF">
      <w:pPr>
        <w:spacing w:line="400" w:lineRule="exact"/>
        <w:ind w:firstLineChars="200" w:firstLine="420"/>
      </w:pPr>
      <w:r>
        <w:t xml:space="preserve">实验中观测到最显著的现象是：在保持目标位置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</m:oMath>
      <w:r>
        <w:t xml:space="preserve"> 不变的情况下，机械臂可以通过截然不同的姿态到达同一点（如图 10 所示，机械臂呈现出与图 9 完全不同的“肘部”朝向）。这一现象不仅验证了逆运动学的非线性多解特性，更直接关联到本实验代码中 </w:t>
      </w:r>
      <w:proofErr w:type="spellStart"/>
      <w:r>
        <w:t>ikine</w:t>
      </w:r>
      <w:proofErr w:type="spellEnd"/>
      <w:r>
        <w:t xml:space="preserve"> 函数的配置参数。</w:t>
      </w:r>
    </w:p>
    <w:p w14:paraId="516E26DF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proofErr w:type="gramStart"/>
      <w:r>
        <w:rPr>
          <w:rFonts w:ascii="宋体" w:eastAsia="宋体" w:hAnsi="宋体"/>
        </w:rPr>
        <w:t>源码第</w:t>
      </w:r>
      <w:proofErr w:type="gramEnd"/>
      <w:r>
        <w:rPr>
          <w:rFonts w:ascii="宋体" w:eastAsia="宋体" w:hAnsi="宋体"/>
        </w:rPr>
        <w:t xml:space="preserve"> 192 行：</w:t>
      </w:r>
    </w:p>
    <w:p w14:paraId="09D61C5F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proofErr w:type="spellStart"/>
      <m:oMathPara>
        <m:oMath>
          <m:r>
            <m:rPr>
              <m:nor/>
            </m:rPr>
            <w:rPr>
              <w:rFonts w:ascii="Cambria Math" w:eastAsia="宋体" w:hAnsi="Cambria Math"/>
            </w:rPr>
            <m:t>q_target</m:t>
          </m:r>
          <w:proofErr w:type="spellEnd"/>
          <m:r>
            <w:rPr>
              <w:rFonts w:ascii="Cambria Math" w:eastAsia="宋体" w:hAnsi="Cambria Math"/>
            </w:rPr>
            <m:t>=</m:t>
          </m:r>
          <m:r>
            <m:rPr>
              <m:nor/>
            </m:rPr>
            <w:rPr>
              <w:rFonts w:ascii="Cambria Math" w:eastAsia="宋体" w:hAnsi="Cambria Math"/>
            </w:rPr>
            <m:t>robot.ikine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target</m:t>
                  </m:r>
                </m:sub>
              </m:sSub>
              <m:r>
                <w:rPr>
                  <w:rFonts w:ascii="Cambria Math" w:eastAsia="宋体" w:hAnsi="Cambria Math"/>
                </w:rPr>
                <m:t>, </m:t>
              </m:r>
              <m:r>
                <m:rPr>
                  <m:nor/>
                </m:rPr>
                <w:rPr>
                  <w:rFonts w:ascii="Cambria Math" w:eastAsia="宋体" w:hAnsi="Cambria Math"/>
                </w:rPr>
                <m:t>'mask'</m:t>
              </m:r>
              <m:r>
                <w:rPr>
                  <w:rFonts w:ascii="Cambria Math" w:eastAsia="宋体" w:hAnsi="Cambria Math"/>
                </w:rPr>
                <m:t>, 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1 1 1 0 0 0</m:t>
                  </m:r>
                </m:e>
              </m:d>
              <m:r>
                <w:rPr>
                  <w:rFonts w:ascii="Cambria Math" w:eastAsia="宋体" w:hAnsi="Cambria Math"/>
                </w:rPr>
                <m:t>, </m:t>
              </m:r>
              <m:r>
                <m:rPr>
                  <m:nor/>
                </m:rPr>
                <w:rPr>
                  <w:rFonts w:ascii="Cambria Math" w:eastAsia="宋体" w:hAnsi="Cambria Math"/>
                </w:rPr>
                <m:t>'q0'</m:t>
              </m:r>
              <m:r>
                <w:rPr>
                  <w:rFonts w:ascii="Cambria Math" w:eastAsia="宋体" w:hAnsi="Cambria Math"/>
                </w:rPr>
                <m:t>, </m:t>
              </m:r>
              <m:r>
                <m:rPr>
                  <m:nor/>
                </m:rPr>
                <w:rPr>
                  <w:rFonts w:ascii="Cambria Math" w:eastAsia="宋体" w:hAnsi="Cambria Math"/>
                </w:rPr>
                <m:t>current_q</m:t>
              </m:r>
            </m:e>
          </m:d>
          <m:r>
            <w:rPr>
              <w:rFonts w:ascii="Cambria Math" w:eastAsia="宋体" w:hAnsi="Cambria Math"/>
            </w:rPr>
            <m:t>;</m:t>
          </m:r>
        </m:oMath>
      </m:oMathPara>
    </w:p>
    <w:p w14:paraId="760B1671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代码中显</w:t>
      </w:r>
      <w:proofErr w:type="gramStart"/>
      <w:r>
        <w:rPr>
          <w:rFonts w:ascii="宋体" w:eastAsia="宋体" w:hAnsi="宋体"/>
        </w:rPr>
        <w:t>式设置</w:t>
      </w:r>
      <w:proofErr w:type="gramEnd"/>
      <w:r>
        <w:rPr>
          <w:rFonts w:ascii="宋体" w:eastAsia="宋体" w:hAnsi="宋体"/>
        </w:rPr>
        <w:t xml:space="preserve">了权重掩膜向量（Mask Vector）为 </w:t>
      </w:r>
      <m:oMath>
        <m:r>
          <w:rPr>
            <w:rFonts w:ascii="Cambria Math" w:eastAsia="宋体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1,1,1,0,0,0</m:t>
            </m:r>
          </m:e>
        </m:d>
      </m:oMath>
      <w:r>
        <w:rPr>
          <w:rFonts w:ascii="宋体" w:eastAsia="宋体" w:hAnsi="宋体"/>
        </w:rPr>
        <w:t>。该向量定义</w:t>
      </w:r>
      <w:proofErr w:type="gramStart"/>
      <w:r>
        <w:rPr>
          <w:rFonts w:ascii="宋体" w:eastAsia="宋体" w:hAnsi="宋体"/>
        </w:rPr>
        <w:t>了逆解算法</w:t>
      </w:r>
      <w:proofErr w:type="gramEnd"/>
      <w:r>
        <w:rPr>
          <w:rFonts w:ascii="宋体" w:eastAsia="宋体" w:hAnsi="宋体"/>
        </w:rPr>
        <w:t>在迭代过程</w:t>
      </w:r>
      <w:proofErr w:type="gramStart"/>
      <w:r>
        <w:rPr>
          <w:rFonts w:ascii="宋体" w:eastAsia="宋体" w:hAnsi="宋体"/>
        </w:rPr>
        <w:t>中对笛卡</w:t>
      </w:r>
      <w:proofErr w:type="gramEnd"/>
      <w:r>
        <w:rPr>
          <w:rFonts w:ascii="宋体" w:eastAsia="宋体" w:hAnsi="宋体"/>
        </w:rPr>
        <w:t xml:space="preserve">尔空间误差的优化优先级：前三个分量为 1，代表算法必须严格满足 </w:t>
      </w:r>
      <m:oMath>
        <m:r>
          <w:rPr>
            <w:rFonts w:ascii="Cambria Math" w:eastAsia="宋体" w:hAnsi="Cambria Math"/>
          </w:rPr>
          <m:t>X, Y, Z</m:t>
        </m:r>
      </m:oMath>
      <w:r>
        <w:rPr>
          <w:rFonts w:ascii="宋体" w:eastAsia="宋体" w:hAnsi="宋体"/>
        </w:rPr>
        <w:t xml:space="preserve"> 三个方向的位置约束；后三个分量为 0，代表算法</w:t>
      </w:r>
      <w:r>
        <w:rPr>
          <w:rFonts w:ascii="宋体" w:eastAsia="宋体" w:hAnsi="宋体"/>
          <w:b/>
          <w:bCs/>
        </w:rPr>
        <w:t>对末端执行器的姿态（旋转）误差不予考虑</w:t>
      </w:r>
      <w:r>
        <w:rPr>
          <w:rFonts w:ascii="宋体" w:eastAsia="宋体" w:hAnsi="宋体"/>
        </w:rPr>
        <w:t>。</w:t>
      </w:r>
    </w:p>
    <w:p w14:paraId="2268D427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正是由于这种“位置强约束、姿态无约束”的求解策略，使得原本 6 自由度的机械臂在仅求解 3 自由度位置任务时形成了</w:t>
      </w:r>
      <w:r>
        <w:rPr>
          <w:rFonts w:ascii="宋体" w:eastAsia="宋体" w:hAnsi="宋体"/>
          <w:b/>
          <w:bCs/>
        </w:rPr>
        <w:t>运动学冗余（Kinematic Redundancy）</w:t>
      </w:r>
      <w:r>
        <w:rPr>
          <w:rFonts w:ascii="宋体" w:eastAsia="宋体" w:hAnsi="宋体"/>
        </w:rPr>
        <w:t xml:space="preserve">。这意味着存在无穷多组关节角 </w:t>
      </w:r>
      <m:oMath>
        <m:r>
          <m:rPr>
            <m:sty m:val="p"/>
          </m:rPr>
          <w:rPr>
            <w:rFonts w:ascii="Cambria Math" w:eastAsia="宋体" w:hAnsi="Cambria Math" w:hint="eastAsia"/>
          </w:rPr>
          <m:t>Θ</m:t>
        </m:r>
      </m:oMath>
      <w:r>
        <w:rPr>
          <w:rFonts w:ascii="宋体" w:eastAsia="宋体" w:hAnsi="宋体"/>
        </w:rPr>
        <w:t xml:space="preserve"> 能够满足同一个位置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goal</m:t>
            </m:r>
          </m:sub>
        </m:sSub>
      </m:oMath>
      <w:r>
        <w:rPr>
          <w:rFonts w:ascii="宋体" w:eastAsia="宋体" w:hAnsi="宋体"/>
        </w:rPr>
        <w:t xml:space="preserve">。数值求解器会依据初始猜测值 q0（即当前机械臂姿态 </w:t>
      </w:r>
      <w:proofErr w:type="spellStart"/>
      <w:r>
        <w:rPr>
          <w:rFonts w:ascii="宋体" w:eastAsia="宋体" w:hAnsi="宋体"/>
        </w:rPr>
        <w:t>current_q</w:t>
      </w:r>
      <w:proofErr w:type="spellEnd"/>
      <w:r>
        <w:rPr>
          <w:rFonts w:ascii="宋体" w:eastAsia="宋体" w:hAnsi="宋体"/>
        </w:rPr>
        <w:t>），收敛到最近的一组解。因此，当机械臂从不同初始构型出发，或人为调整姿态规划时，便会出现图 10 中“位置重合但构型各异”的实验结果。</w:t>
      </w:r>
    </w:p>
    <w:p w14:paraId="2A9FB39C" w14:textId="77777777" w:rsidR="008820FF" w:rsidRDefault="008820FF" w:rsidP="008820FF">
      <w:pPr>
        <w:jc w:val="center"/>
      </w:pPr>
      <w:r>
        <w:rPr>
          <w:noProof/>
        </w:rPr>
        <w:lastRenderedPageBreak/>
        <w:drawing>
          <wp:inline distT="0" distB="0" distL="0" distR="0" wp14:anchorId="1A6E113C" wp14:editId="0B97E8FE">
            <wp:extent cx="3794760" cy="22117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2518" cy="22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4089" w14:textId="77777777" w:rsidR="008820FF" w:rsidRDefault="008820FF" w:rsidP="008820FF">
      <w:pPr>
        <w:pStyle w:val="af4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逆运动学无解或者超出</w:t>
      </w:r>
      <w:r>
        <w:rPr>
          <w:rFonts w:hint="eastAsia"/>
          <w:b/>
          <w:bCs/>
        </w:rPr>
        <w:t>工作空间（蒙特卡洛方法绘制的蓝色球形）</w:t>
      </w:r>
      <w:r>
        <w:rPr>
          <w:rFonts w:hint="eastAsia"/>
        </w:rPr>
        <w:t>时提示</w:t>
      </w:r>
    </w:p>
    <w:p w14:paraId="434AB1F1" w14:textId="77777777" w:rsidR="008820FF" w:rsidRDefault="008820FF" w:rsidP="008820FF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实验测试了当目标点超出物理限制时的算法响应。输入一组远离基座的目标坐标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out</m:t>
            </m:r>
          </m:sub>
        </m:sSub>
        <m: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i/>
                  </w:rPr>
                </m:ctrlPr>
              </m:dPr>
              <m:e>
                <m:r>
                  <w:rPr>
                    <w:rFonts w:ascii="Cambria Math" w:eastAsia="宋体" w:hAnsi="Cambria Math"/>
                  </w:rPr>
                  <m:t>0.35, 0.3, 0.45</m:t>
                </m:r>
              </m:e>
            </m:d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>
        <w:rPr>
          <w:rFonts w:ascii="宋体" w:eastAsia="宋体" w:hAnsi="宋体"/>
        </w:rPr>
        <w:t xml:space="preserve"> 米。通过计算该向量的</w:t>
      </w:r>
      <w:proofErr w:type="gramStart"/>
      <w:r>
        <w:rPr>
          <w:rFonts w:ascii="宋体" w:eastAsia="宋体" w:hAnsi="宋体"/>
        </w:rPr>
        <w:t>模长可知</w:t>
      </w:r>
      <w:proofErr w:type="gramEnd"/>
      <w:r>
        <w:rPr>
          <w:rFonts w:ascii="宋体" w:eastAsia="宋体" w:hAnsi="宋体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/>
                  </w:rPr>
                  <m:t>out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cit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</w:rPr>
                  <m:t>s</m:t>
                </m:r>
              </m:sub>
            </m:sSub>
            <m:r>
              <w:rPr>
                <w:rFonts w:ascii="Cambria Math" w:eastAsia="宋体" w:hAnsi="Cambria Math"/>
              </w:rPr>
              <m:t>tart</m:t>
            </m:r>
          </m:e>
        </m:d>
        <m:r>
          <m:rPr>
            <m:sty m:val="p"/>
          </m:rPr>
          <w:rPr>
            <w:rFonts w:ascii="Cambria Math" w:eastAsia="宋体" w:hAnsi="Cambria Math" w:hint="eastAsia"/>
          </w:rPr>
          <m:t>≈</m:t>
        </m:r>
        <m:r>
          <w:rPr>
            <w:rFonts w:ascii="Cambria Math" w:eastAsia="宋体" w:hAnsi="Cambria Math"/>
          </w:rPr>
          <m:t xml:space="preserve">0.64 </m:t>
        </m:r>
      </m:oMath>
      <w:r>
        <w:rPr>
          <w:rFonts w:ascii="宋体" w:eastAsia="宋体" w:hAnsi="宋体"/>
        </w:rPr>
        <w:t xml:space="preserve">m，这远超 </w:t>
      </w:r>
      <w:proofErr w:type="spellStart"/>
      <w:r>
        <w:rPr>
          <w:rFonts w:ascii="宋体" w:eastAsia="宋体" w:hAnsi="宋体"/>
        </w:rPr>
        <w:t>Mycobot</w:t>
      </w:r>
      <w:proofErr w:type="spellEnd"/>
      <w:r>
        <w:rPr>
          <w:rFonts w:ascii="宋体" w:eastAsia="宋体" w:hAnsi="宋体"/>
        </w:rPr>
        <w:t xml:space="preserve"> 280 机械臂的最大展长（约 0.35m）。如图 所示，由于目标点位于蓝色可达工作空间区域之外，迭代算法无法找到满足误差要求的解，仿真界面正确显示了红色叉号并提示状态为“</w:t>
      </w:r>
      <w:r>
        <w:rPr>
          <w:rFonts w:ascii="宋体" w:eastAsia="宋体" w:hAnsi="宋体"/>
          <w:b/>
          <w:bCs/>
        </w:rPr>
        <w:t>错误：逆运动学无解或超出工作空间”</w:t>
      </w:r>
      <w:r>
        <w:rPr>
          <w:rFonts w:ascii="宋体" w:eastAsia="宋体" w:hAnsi="宋体"/>
        </w:rPr>
        <w:t>。这一结果验证了</w:t>
      </w:r>
      <w:r>
        <w:rPr>
          <w:rFonts w:ascii="宋体" w:eastAsia="宋体" w:hAnsi="宋体"/>
          <w:u w:val="single"/>
        </w:rPr>
        <w:t>蒙特卡洛工作空间</w:t>
      </w:r>
      <w:r>
        <w:rPr>
          <w:rFonts w:ascii="宋体" w:eastAsia="宋体" w:hAnsi="宋体"/>
        </w:rPr>
        <w:t>分析的准确性，同时也表明控制算法具备识别</w:t>
      </w:r>
      <w:proofErr w:type="gramStart"/>
      <w:r>
        <w:rPr>
          <w:rFonts w:ascii="宋体" w:eastAsia="宋体" w:hAnsi="宋体"/>
        </w:rPr>
        <w:t>奇异点</w:t>
      </w:r>
      <w:proofErr w:type="gramEnd"/>
      <w:r>
        <w:rPr>
          <w:rFonts w:ascii="宋体" w:eastAsia="宋体" w:hAnsi="宋体"/>
        </w:rPr>
        <w:t>和</w:t>
      </w:r>
      <w:proofErr w:type="gramStart"/>
      <w:r>
        <w:rPr>
          <w:rFonts w:ascii="宋体" w:eastAsia="宋体" w:hAnsi="宋体"/>
        </w:rPr>
        <w:t>不</w:t>
      </w:r>
      <w:proofErr w:type="gramEnd"/>
      <w:r>
        <w:rPr>
          <w:rFonts w:ascii="宋体" w:eastAsia="宋体" w:hAnsi="宋体"/>
        </w:rPr>
        <w:t>可达点的能力，能够有效防止物理样机执行危险动作。</w:t>
      </w:r>
    </w:p>
    <w:p w14:paraId="7812C0B4" w14:textId="4743314F" w:rsidR="00125021" w:rsidRPr="008820FF" w:rsidRDefault="00125021" w:rsidP="008820FF"/>
    <w:sectPr w:rsidR="00125021" w:rsidRPr="00882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82459" w14:textId="77777777" w:rsidR="00A84D77" w:rsidRDefault="00A84D77" w:rsidP="003F1D3F">
      <w:r>
        <w:separator/>
      </w:r>
    </w:p>
  </w:endnote>
  <w:endnote w:type="continuationSeparator" w:id="0">
    <w:p w14:paraId="484E7BEB" w14:textId="77777777" w:rsidR="00A84D77" w:rsidRDefault="00A84D77" w:rsidP="003F1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E9982" w14:textId="77777777" w:rsidR="00A84D77" w:rsidRDefault="00A84D77" w:rsidP="003F1D3F">
      <w:r>
        <w:separator/>
      </w:r>
    </w:p>
  </w:footnote>
  <w:footnote w:type="continuationSeparator" w:id="0">
    <w:p w14:paraId="17D77CB5" w14:textId="77777777" w:rsidR="00A84D77" w:rsidRDefault="00A84D77" w:rsidP="003F1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7335D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" w15:restartNumberingAfterBreak="0">
    <w:nsid w:val="14897289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2" w15:restartNumberingAfterBreak="0">
    <w:nsid w:val="443D2960"/>
    <w:multiLevelType w:val="multilevel"/>
    <w:tmpl w:val="443D29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455B80"/>
    <w:multiLevelType w:val="hybridMultilevel"/>
    <w:tmpl w:val="5BB0C560"/>
    <w:lvl w:ilvl="0" w:tplc="1150AF0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D61769B"/>
    <w:multiLevelType w:val="hybridMultilevel"/>
    <w:tmpl w:val="09C29F8A"/>
    <w:lvl w:ilvl="0" w:tplc="7B74B3E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5" w15:restartNumberingAfterBreak="0">
    <w:nsid w:val="7F400A06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num w:numId="1" w16cid:durableId="451218378">
    <w:abstractNumId w:val="3"/>
  </w:num>
  <w:num w:numId="2" w16cid:durableId="854458779">
    <w:abstractNumId w:val="4"/>
  </w:num>
  <w:num w:numId="3" w16cid:durableId="1142499981">
    <w:abstractNumId w:val="1"/>
  </w:num>
  <w:num w:numId="4" w16cid:durableId="924805675">
    <w:abstractNumId w:val="0"/>
  </w:num>
  <w:num w:numId="5" w16cid:durableId="816843909">
    <w:abstractNumId w:val="5"/>
  </w:num>
  <w:num w:numId="6" w16cid:durableId="1823690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71"/>
    <w:rsid w:val="00030200"/>
    <w:rsid w:val="00054DC4"/>
    <w:rsid w:val="000B0AA8"/>
    <w:rsid w:val="000E18F7"/>
    <w:rsid w:val="0010687F"/>
    <w:rsid w:val="00125021"/>
    <w:rsid w:val="001674C3"/>
    <w:rsid w:val="001A181B"/>
    <w:rsid w:val="001C11F9"/>
    <w:rsid w:val="001C4238"/>
    <w:rsid w:val="0023729E"/>
    <w:rsid w:val="00277BC8"/>
    <w:rsid w:val="00281501"/>
    <w:rsid w:val="002D0A71"/>
    <w:rsid w:val="00300E95"/>
    <w:rsid w:val="00394D41"/>
    <w:rsid w:val="003A46EF"/>
    <w:rsid w:val="003F1D3F"/>
    <w:rsid w:val="00402EB5"/>
    <w:rsid w:val="00410B12"/>
    <w:rsid w:val="00425367"/>
    <w:rsid w:val="004C663A"/>
    <w:rsid w:val="004E6098"/>
    <w:rsid w:val="0056251A"/>
    <w:rsid w:val="00562FAA"/>
    <w:rsid w:val="00571A8B"/>
    <w:rsid w:val="00584867"/>
    <w:rsid w:val="005B2DFA"/>
    <w:rsid w:val="005F7EC2"/>
    <w:rsid w:val="006110B2"/>
    <w:rsid w:val="00640F52"/>
    <w:rsid w:val="0065769B"/>
    <w:rsid w:val="00754EB9"/>
    <w:rsid w:val="007801C6"/>
    <w:rsid w:val="007E6876"/>
    <w:rsid w:val="007F22CB"/>
    <w:rsid w:val="0080343E"/>
    <w:rsid w:val="0080419D"/>
    <w:rsid w:val="00844DE6"/>
    <w:rsid w:val="008820FF"/>
    <w:rsid w:val="008E6490"/>
    <w:rsid w:val="00961E7A"/>
    <w:rsid w:val="0096574E"/>
    <w:rsid w:val="00991728"/>
    <w:rsid w:val="009920D6"/>
    <w:rsid w:val="009A159A"/>
    <w:rsid w:val="009E2E5B"/>
    <w:rsid w:val="009F1D03"/>
    <w:rsid w:val="00A314C2"/>
    <w:rsid w:val="00A83B10"/>
    <w:rsid w:val="00A84D77"/>
    <w:rsid w:val="00A97060"/>
    <w:rsid w:val="00AD57AE"/>
    <w:rsid w:val="00AF3FA3"/>
    <w:rsid w:val="00B037BE"/>
    <w:rsid w:val="00B12C91"/>
    <w:rsid w:val="00B13A1E"/>
    <w:rsid w:val="00B329DB"/>
    <w:rsid w:val="00B36D22"/>
    <w:rsid w:val="00B74CE1"/>
    <w:rsid w:val="00BC5F6A"/>
    <w:rsid w:val="00BC685F"/>
    <w:rsid w:val="00CB1B66"/>
    <w:rsid w:val="00CC6019"/>
    <w:rsid w:val="00CD3912"/>
    <w:rsid w:val="00D066CC"/>
    <w:rsid w:val="00D07C44"/>
    <w:rsid w:val="00D15481"/>
    <w:rsid w:val="00DC576D"/>
    <w:rsid w:val="00E00EB9"/>
    <w:rsid w:val="00E02903"/>
    <w:rsid w:val="00E1179B"/>
    <w:rsid w:val="00E36AAB"/>
    <w:rsid w:val="00E462CB"/>
    <w:rsid w:val="00E53CDE"/>
    <w:rsid w:val="00E779FD"/>
    <w:rsid w:val="00EA5302"/>
    <w:rsid w:val="00EB36E3"/>
    <w:rsid w:val="00EC0FF8"/>
    <w:rsid w:val="00F05356"/>
    <w:rsid w:val="00F1569D"/>
    <w:rsid w:val="00F6262E"/>
    <w:rsid w:val="00FC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ED555"/>
  <w15:chartTrackingRefBased/>
  <w15:docId w15:val="{D9CD077A-D1B1-458E-B4C1-A6414D41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0A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A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A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A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A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A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A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A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0A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0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0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0A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0A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0A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0A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0A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0A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0A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A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0A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0A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A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A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0A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0A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1D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1D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1D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1D3F"/>
    <w:rPr>
      <w:sz w:val="18"/>
      <w:szCs w:val="18"/>
    </w:rPr>
  </w:style>
  <w:style w:type="paragraph" w:styleId="af2">
    <w:name w:val="Body Text"/>
    <w:basedOn w:val="a"/>
    <w:link w:val="af3"/>
    <w:qFormat/>
    <w:rsid w:val="003F1D3F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f3">
    <w:name w:val="正文文本 字符"/>
    <w:basedOn w:val="a0"/>
    <w:link w:val="af2"/>
    <w:rsid w:val="003F1D3F"/>
    <w:rPr>
      <w:kern w:val="0"/>
      <w:sz w:val="24"/>
      <w:szCs w:val="24"/>
      <w:lang w:eastAsia="en-US"/>
    </w:rPr>
  </w:style>
  <w:style w:type="paragraph" w:styleId="af4">
    <w:name w:val="caption"/>
    <w:basedOn w:val="a"/>
    <w:next w:val="a"/>
    <w:uiPriority w:val="35"/>
    <w:unhideWhenUsed/>
    <w:qFormat/>
    <w:rsid w:val="003F1D3F"/>
    <w:rPr>
      <w:rFonts w:asciiTheme="majorHAnsi" w:eastAsia="黑体" w:hAnsiTheme="majorHAnsi" w:cstheme="majorBidi"/>
      <w:sz w:val="20"/>
      <w:szCs w:val="20"/>
    </w:rPr>
  </w:style>
  <w:style w:type="character" w:customStyle="1" w:styleId="VerbatimChar">
    <w:name w:val="Verbatim Char"/>
    <w:basedOn w:val="a0"/>
    <w:link w:val="SourceCode"/>
    <w:rsid w:val="003F1D3F"/>
    <w:rPr>
      <w:rFonts w:ascii="Consolas" w:hAnsi="Consolas"/>
      <w:sz w:val="22"/>
    </w:rPr>
  </w:style>
  <w:style w:type="paragraph" w:customStyle="1" w:styleId="SourceCode">
    <w:name w:val="Source Code"/>
    <w:link w:val="VerbatimChar"/>
    <w:rsid w:val="003F1D3F"/>
    <w:pPr>
      <w:wordWrap w:val="0"/>
      <w:spacing w:after="200"/>
    </w:pPr>
    <w:rPr>
      <w:rFonts w:ascii="Consolas" w:hAnsi="Consolas"/>
      <w:sz w:val="22"/>
    </w:rPr>
  </w:style>
  <w:style w:type="paragraph" w:customStyle="1" w:styleId="FirstParagraph">
    <w:name w:val="First Paragraph"/>
    <w:basedOn w:val="af2"/>
    <w:next w:val="af2"/>
    <w:qFormat/>
    <w:rsid w:val="003F1D3F"/>
  </w:style>
  <w:style w:type="character" w:styleId="af5">
    <w:name w:val="Hyperlink"/>
    <w:basedOn w:val="a0"/>
    <w:uiPriority w:val="99"/>
    <w:unhideWhenUsed/>
    <w:rsid w:val="00B74CE1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74CE1"/>
    <w:rPr>
      <w:color w:val="605E5C"/>
      <w:shd w:val="clear" w:color="auto" w:fill="E1DFDD"/>
    </w:rPr>
  </w:style>
  <w:style w:type="table" w:styleId="af7">
    <w:name w:val="Table Grid"/>
    <w:basedOn w:val="a1"/>
    <w:uiPriority w:val="39"/>
    <w:rsid w:val="00410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qFormat/>
    <w:rsid w:val="008820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29B5E-F10B-4AE7-9C58-4F95FB7D2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11 22</dc:creator>
  <cp:keywords/>
  <dc:description/>
  <cp:lastModifiedBy>11 22</cp:lastModifiedBy>
  <cp:revision>45</cp:revision>
  <dcterms:created xsi:type="dcterms:W3CDTF">2025-12-01T08:32:00Z</dcterms:created>
  <dcterms:modified xsi:type="dcterms:W3CDTF">2025-12-28T08:52:00Z</dcterms:modified>
</cp:coreProperties>
</file>