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bookmarkStart w:id="0" w:name="设计说明"/>
      <w:r>
        <w:rPr>
          <w:color w:val="auto"/>
        </w:rPr>
        <w:t>设计说明</w:t>
      </w:r>
    </w:p>
    <w:p>
      <w:pPr>
        <w:pStyle w:val="4"/>
        <w:rPr>
          <w:color w:val="auto"/>
        </w:rPr>
      </w:pPr>
      <w:bookmarkStart w:id="1" w:name="使用说明"/>
      <w:r>
        <w:rPr>
          <w:color w:val="auto"/>
        </w:rPr>
        <w:t>使用说明</w:t>
      </w:r>
    </w:p>
    <w:p>
      <w:pPr>
        <w:pStyle w:val="24"/>
        <w:numPr>
          <w:ilvl w:val="0"/>
          <w:numId w:val="1"/>
        </w:numPr>
      </w:pPr>
      <w:r>
        <w:t>clk时钟信号</w:t>
      </w:r>
    </w:p>
    <w:p>
      <w:pPr>
        <w:pStyle w:val="24"/>
        <w:numPr>
          <w:ilvl w:val="0"/>
          <w:numId w:val="1"/>
        </w:numPr>
      </w:pPr>
      <w:r>
        <w:t>rst信号低电平有效</w:t>
      </w:r>
    </w:p>
    <w:p>
      <w:pPr>
        <w:pStyle w:val="24"/>
        <w:numPr>
          <w:ilvl w:val="0"/>
          <w:numId w:val="1"/>
        </w:numPr>
      </w:pPr>
      <w:r>
        <w:t>wr，fifo存储器写信号，低电平有效</w:t>
      </w:r>
    </w:p>
    <w:p>
      <w:pPr>
        <w:pStyle w:val="24"/>
        <w:numPr>
          <w:ilvl w:val="0"/>
          <w:numId w:val="1"/>
        </w:numPr>
      </w:pPr>
      <w:r>
        <w:t>rd，fifo存储器读信号，低电平有效</w:t>
      </w:r>
    </w:p>
    <w:p>
      <w:pPr>
        <w:pStyle w:val="24"/>
        <w:numPr>
          <w:ilvl w:val="0"/>
          <w:numId w:val="1"/>
        </w:numPr>
      </w:pPr>
      <w:r>
        <w:t>datain, 输入数据</w:t>
      </w:r>
    </w:p>
    <w:p>
      <w:pPr>
        <w:pStyle w:val="24"/>
        <w:numPr>
          <w:ilvl w:val="0"/>
          <w:numId w:val="1"/>
        </w:numPr>
      </w:pPr>
      <w:r>
        <w:t>dataout, 输出数据</w:t>
      </w:r>
    </w:p>
    <w:p>
      <w:pPr>
        <w:pStyle w:val="24"/>
        <w:numPr>
          <w:ilvl w:val="0"/>
          <w:numId w:val="1"/>
        </w:numPr>
      </w:pPr>
      <w:r>
        <w:t>empty，存储器空标志，输出信号</w:t>
      </w:r>
    </w:p>
    <w:p>
      <w:pPr>
        <w:pStyle w:val="24"/>
        <w:numPr>
          <w:ilvl w:val="0"/>
          <w:numId w:val="1"/>
        </w:numPr>
      </w:pPr>
      <w:r>
        <w:t>full，存储器满标志，输出信号</w:t>
      </w:r>
    </w:p>
    <w:p>
      <w:pPr>
        <w:pStyle w:val="24"/>
        <w:numPr>
          <w:ilvl w:val="0"/>
          <w:numId w:val="1"/>
        </w:numPr>
      </w:pPr>
      <w:r>
        <w:t>N，用户可配置的数据线宽度</w:t>
      </w:r>
    </w:p>
    <w:p>
      <w:pPr>
        <w:pStyle w:val="24"/>
        <w:numPr>
          <w:ilvl w:val="0"/>
          <w:numId w:val="1"/>
        </w:numPr>
      </w:pPr>
      <w:r>
        <w:t>M，用户可配置的存储器容量</w:t>
      </w:r>
    </w:p>
    <w:p>
      <w:pPr>
        <w:pStyle w:val="24"/>
        <w:numPr>
          <w:ilvl w:val="1"/>
          <w:numId w:val="1"/>
        </w:numPr>
      </w:pPr>
      <w:r>
        <w:t>存储器的容量为：2的depth次方减1</w:t>
      </w:r>
    </w:p>
    <w:bookmarkEnd w:id="1"/>
    <w:p>
      <w:pPr>
        <w:pStyle w:val="4"/>
        <w:rPr>
          <w:color w:val="auto"/>
        </w:rPr>
      </w:pPr>
      <w:bookmarkStart w:id="2" w:name="仿真结果"/>
      <w:r>
        <w:rPr>
          <w:color w:val="auto"/>
        </w:rPr>
        <w:t>仿真结果</w:t>
      </w:r>
    </w:p>
    <w:p>
      <w:pPr>
        <w:pStyle w:val="23"/>
      </w:pPr>
      <w:r>
        <w:drawing>
          <wp:inline distT="0" distB="0" distL="114300" distR="114300">
            <wp:extent cx="5334000" cy="234124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14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2668905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95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4"/>
        <w:rPr>
          <w:color w:val="auto"/>
        </w:rPr>
      </w:pPr>
      <w:bookmarkStart w:id="3" w:name="主程序"/>
      <w:bookmarkStart w:id="4" w:name="_GoBack"/>
      <w:r>
        <w:rPr>
          <w:color w:val="auto"/>
        </w:rPr>
        <w:t>主程序</w:t>
      </w:r>
    </w:p>
    <w:bookmarkEnd w:id="4"/>
    <w:p>
      <w:pPr>
        <w:pStyle w:val="23"/>
      </w:pPr>
      <w:r>
        <w:t>详见”源代码”文件夹</w:t>
      </w:r>
    </w:p>
    <w:p>
      <w:pPr>
        <w:pStyle w:val="3"/>
      </w:pPr>
      <w:r>
        <w:drawing>
          <wp:inline distT="0" distB="0" distL="114300" distR="114300">
            <wp:extent cx="5334000" cy="2910205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03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judge_status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根据内部读写指针产生空/满信号</w:t>
      </w:r>
    </w:p>
    <w:p>
      <w:pPr>
        <w:pStyle w:val="24"/>
        <w:numPr>
          <w:ilvl w:val="1"/>
          <w:numId w:val="1"/>
        </w:numPr>
      </w:pPr>
      <w:r>
        <w:t>控制读写指针模块的执行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write_pointer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根据wr信号和full信息控制内部写指针的移动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read_pointer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根据rd信号和empty信息控制内部读指针的移动</w:t>
      </w:r>
    </w:p>
    <w:p>
      <w:pPr>
        <w:pStyle w:val="24"/>
        <w:numPr>
          <w:ilvl w:val="0"/>
          <w:numId w:val="1"/>
        </w:numPr>
      </w:pPr>
      <w:r>
        <w:rPr>
          <w:rStyle w:val="35"/>
        </w:rPr>
        <w:t>dualram</w:t>
      </w:r>
      <w:r>
        <w:t>模块</w:t>
      </w:r>
    </w:p>
    <w:p>
      <w:pPr>
        <w:pStyle w:val="24"/>
        <w:numPr>
          <w:ilvl w:val="1"/>
          <w:numId w:val="1"/>
        </w:numPr>
      </w:pPr>
      <w:r>
        <w:t>根据用户配置M和N创建数组用于存储</w:t>
      </w:r>
    </w:p>
    <w:p>
      <w:pPr>
        <w:pStyle w:val="24"/>
        <w:numPr>
          <w:ilvl w:val="1"/>
          <w:numId w:val="1"/>
        </w:numPr>
      </w:pPr>
      <w:r>
        <w:t>根据(wr和满信号)对写指针指向做出写入控制</w:t>
      </w:r>
    </w:p>
    <w:p>
      <w:pPr>
        <w:pStyle w:val="24"/>
        <w:numPr>
          <w:ilvl w:val="1"/>
          <w:numId w:val="1"/>
        </w:numPr>
      </w:pPr>
      <w:r>
        <w:t>根据(rd和空信号)对读指针指向做出读出控制</w:t>
      </w:r>
    </w:p>
    <w:bookmarkEnd w:id="0"/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EFEBB8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2022-04-19T17:12:00Z</dcterms:created>
  <dc:creator>ring</dc:creator>
  <cp:lastModifiedBy>ring</cp:lastModifiedBy>
  <dcterms:modified xsi:type="dcterms:W3CDTF">2022-04-19T17:13:53Z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