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316D8D">
      <w:pPr>
        <w:pStyle w:val="2"/>
      </w:pPr>
      <w:bookmarkStart w:id="0" w:name="X4d5489e3b17e0d3292e505e482b31a520c2c56d"/>
      <w:r>
        <w:rPr>
          <w:rFonts w:hint="eastAsia"/>
        </w:rPr>
        <w:t>面向煤制气副产轻烃深度除臭的负载型催化剂氧化机制：从单分子活化到真实油品中多元硫/氮共转化网络</w:t>
      </w:r>
    </w:p>
    <w:p w14:paraId="0AC461A3">
      <w:bookmarkStart w:id="20" w:name="_GoBack"/>
      <w:bookmarkEnd w:id="20"/>
    </w:p>
    <w:p w14:paraId="41D9E711">
      <w:pPr>
        <w:pStyle w:val="4"/>
      </w:pPr>
      <w:bookmarkStart w:id="1" w:name="引言"/>
      <w:r>
        <w:rPr>
          <w:rFonts w:hint="eastAsia"/>
        </w:rPr>
        <w:t>引言</w:t>
      </w:r>
    </w:p>
    <w:p w14:paraId="760F4D50">
      <w:pPr>
        <w:pStyle w:val="23"/>
      </w:pPr>
      <w:r>
        <w:rPr>
          <w:rFonts w:hint="eastAsia"/>
        </w:rPr>
        <w:t>煤制气（Coal-to-Gas,</w:t>
      </w:r>
      <w:r>
        <w:t xml:space="preserve"> </w:t>
      </w:r>
      <w:r>
        <w:rPr>
          <w:rFonts w:hint="eastAsia"/>
        </w:rPr>
        <w:t>CTG）作为我国能源结构清洁转型的重要战略方向，近年来得到了快速发展。以煤制天然气（SNG）和煤制甲醇为代表的煤基合成气路线，通过煤气化–变换–净化–甲烷化（或羰基合成）工艺链，将我国丰富的煤炭资源转化为高附加值的清洁能源和化工原料。然而，在煤气化及后续合成过程中，原料煤中所含的硫、氮元素不可避免地部分转化进入副产轻烃物流中，生成以</w:t>
      </w:r>
      <w:r>
        <w:t xml:space="preserve"> C₁–C₄ </w:t>
      </w:r>
      <w:r>
        <w:rPr>
          <w:rFonts w:hint="eastAsia"/>
        </w:rPr>
        <w:t>饱和烃为主体、同时含有微量不饱和烃及复杂极性杂质的混合气体。这类副产轻烃（主要成分为甲烷、乙烷、丙烷及少量丁烷）既是下游化工高值化利用（如乙烯裂解原料、甲基叔丁基醚</w:t>
      </w:r>
      <w:r>
        <w:t xml:space="preserve"> MTBE </w:t>
      </w:r>
      <w:r>
        <w:rPr>
          <w:rFonts w:hint="eastAsia"/>
        </w:rPr>
        <w:t>合成、乙炔氢氯化等）的关键中间体，也是管道天然气入网前必须精制的目标产品。</w:t>
      </w:r>
    </w:p>
    <w:p w14:paraId="4A999C22">
      <w:pPr>
        <w:pStyle w:val="3"/>
      </w:pPr>
      <w:r>
        <w:rPr>
          <w:rFonts w:hint="eastAsia"/>
        </w:rPr>
        <w:t>副产轻烃中的微量硫/氮杂质虽然含量通常仅为</w:t>
      </w:r>
      <w:r>
        <w:t xml:space="preserve"> ppm </w:t>
      </w:r>
      <w:r>
        <w:rPr>
          <w:rFonts w:hint="eastAsia"/>
        </w:rPr>
        <w:t>至</w:t>
      </w:r>
      <w:r>
        <w:t xml:space="preserve"> ppb </w:t>
      </w:r>
      <w:r>
        <w:rPr>
          <w:rFonts w:hint="eastAsia"/>
        </w:rPr>
        <w:t>量级，却因其极低的嗅觉阈值和对催化剂的强毒性而对下游应用构成严重制约。以硫醇（如甲硫醇、乙硫醇）为代表的含硫化合物具有强烈的恶臭气味，即使在</w:t>
      </w:r>
      <w:r>
        <w:t xml:space="preserve"> ppb </w:t>
      </w:r>
      <w:r>
        <w:rPr>
          <w:rFonts w:hint="eastAsia"/>
        </w:rPr>
        <w:t>浓度下也可被人类鼻腔感知；含氮化合物如吡啶、吲哚等同样具有刺激性气味，且其碱性特征可导致后续加氢催化剂酸性位点的不可逆毒化。此外，噻吩类化合物（噻吩、苯并噻吩、二苯并噻吩等）虽气味相对较弱，但其化学稳定性高、难以通过常规物理吸附脱除，是深度精制阶段的主要挑战。因此，实现副产轻烃的深度除臭与精制，不仅是保障下游化工过程长周期稳定运行的必要前提，也是满足日益严格的环保排放标准（如《天然气》GB</w:t>
      </w:r>
      <w:r>
        <w:t xml:space="preserve"> 17820-2018 </w:t>
      </w:r>
      <w:r>
        <w:rPr>
          <w:rFonts w:hint="eastAsia"/>
        </w:rPr>
        <w:t>中对总硫含量</w:t>
      </w:r>
      <w:r>
        <w:t xml:space="preserve"> ≤ 20 mg·m⁻³ </w:t>
      </w:r>
      <w:r>
        <w:rPr>
          <w:rFonts w:hint="eastAsia"/>
        </w:rPr>
        <w:t>的要求）的核心环节。</w:t>
      </w:r>
    </w:p>
    <w:p w14:paraId="46FB2951">
      <w:pPr>
        <w:pStyle w:val="3"/>
      </w:pPr>
      <w:r>
        <w:rPr>
          <w:rFonts w:hint="eastAsia"/>
        </w:rPr>
        <w:t>传统的加氢脱硫（Hydrodesulfurization,</w:t>
      </w:r>
      <w:r>
        <w:t xml:space="preserve"> </w:t>
      </w:r>
      <w:r>
        <w:rPr>
          <w:rFonts w:hint="eastAsia"/>
        </w:rPr>
        <w:t>HDS）技术在炼油工业中已有数十年工业化应用经验，其通过在</w:t>
      </w:r>
      <w:r>
        <w:t xml:space="preserve"> CoMo/Al₂O₃ </w:t>
      </w:r>
      <w:r>
        <w:rPr>
          <w:rFonts w:hint="eastAsia"/>
        </w:rPr>
        <w:t>或</w:t>
      </w:r>
      <w:r>
        <w:t xml:space="preserve"> NiMo/Al₂O₃ </w:t>
      </w:r>
      <w:r>
        <w:rPr>
          <w:rFonts w:hint="eastAsia"/>
        </w:rPr>
        <w:t>等硫化物催化剂上通入氢气，将有机硫化物转化为</w:t>
      </w:r>
      <w:r>
        <w:t xml:space="preserve"> H₂S </w:t>
      </w:r>
      <w:r>
        <w:rPr>
          <w:rFonts w:hint="eastAsia"/>
        </w:rPr>
        <w:t>后脱除。然而，将</w:t>
      </w:r>
      <w:r>
        <w:t xml:space="preserve"> HDS </w:t>
      </w:r>
      <w:r>
        <w:rPr>
          <w:rFonts w:hint="eastAsia"/>
        </w:rPr>
        <w:t>技术直接移植到煤制气副产轻烃的深度除臭场景时，暴露出多重局限性：其一，HDS</w:t>
      </w:r>
      <w:r>
        <w:t xml:space="preserve"> </w:t>
      </w:r>
      <w:r>
        <w:rPr>
          <w:rFonts w:hint="eastAsia"/>
        </w:rPr>
        <w:t>对噻吩类及空间位阻型硫化物（如</w:t>
      </w:r>
      <w:r>
        <w:t xml:space="preserve"> </w:t>
      </w:r>
      <w:r>
        <w:rPr>
          <w:rFonts w:hint="eastAsia"/>
        </w:rPr>
        <w:t>4,6-二甲基二苯并噻吩）的加氢转化率显著下降，在常规工业条件下难以将硫含量降至</w:t>
      </w:r>
      <w:r>
        <w:t xml:space="preserve"> ppm </w:t>
      </w:r>
      <w:r>
        <w:rPr>
          <w:rFonts w:hint="eastAsia"/>
        </w:rPr>
        <w:t>以下；其二，HDS</w:t>
      </w:r>
      <w:r>
        <w:t xml:space="preserve"> </w:t>
      </w:r>
      <w:r>
        <w:rPr>
          <w:rFonts w:hint="eastAsia"/>
        </w:rPr>
        <w:t>过程需要高压氢气（通常</w:t>
      </w:r>
      <w:r>
        <w:t xml:space="preserve"> 3–8 </w:t>
      </w:r>
      <w:r>
        <w:rPr>
          <w:rFonts w:hint="eastAsia"/>
        </w:rPr>
        <w:t>MPa）和较高温度（300–400</w:t>
      </w:r>
      <w:r>
        <w:t xml:space="preserve"> </w:t>
      </w:r>
      <w:r>
        <w:rPr>
          <w:rFonts w:hint="eastAsia"/>
        </w:rPr>
        <w:t>°C），能耗成本高昂，且对轻烃中大量饱和烷烃存在不必要的竞争加氢风险；其三，煤制气轻烃体系中往往伴随较高浓度的烯烃组分，HDS</w:t>
      </w:r>
      <w:r>
        <w:t xml:space="preserve"> </w:t>
      </w:r>
      <w:r>
        <w:rPr>
          <w:rFonts w:hint="eastAsia"/>
        </w:rPr>
        <w:t>条件下的烯烃过度加氢将导致下游聚合级产品的单体的收率损失。</w:t>
      </w:r>
    </w:p>
    <w:p w14:paraId="0A1F44ED">
      <w:pPr>
        <w:pStyle w:val="3"/>
      </w:pPr>
      <w:r>
        <w:rPr>
          <w:rFonts w:hint="eastAsia"/>
        </w:rPr>
        <w:t>鉴于上述挑战，催化选择性氧化脱硫（Catalytic</w:t>
      </w:r>
      <w:r>
        <w:t xml:space="preserve"> Oxidative Desulfurization, </w:t>
      </w:r>
      <w:r>
        <w:rPr>
          <w:rFonts w:hint="eastAsia"/>
        </w:rPr>
        <w:t>CODS）作为一种新兴的精制技术受到广泛关注。CODS</w:t>
      </w:r>
      <w:r>
        <w:t xml:space="preserve"> </w:t>
      </w:r>
      <w:r>
        <w:rPr>
          <w:rFonts w:hint="eastAsia"/>
        </w:rPr>
        <w:t>的核心思想是利用过渡金属氧化物或多酸（Heteropolyacids,</w:t>
      </w:r>
      <w:r>
        <w:t xml:space="preserve"> </w:t>
      </w:r>
      <w:r>
        <w:rPr>
          <w:rFonts w:hint="eastAsia"/>
        </w:rPr>
        <w:t>HPA）等负载型催化剂活化过氧化氢、有机过氧化物或分子氧等氧化剂，在温和条件（室温至</w:t>
      </w:r>
      <w:r>
        <w:t xml:space="preserve"> 100 </w:t>
      </w:r>
      <w:r>
        <w:rPr>
          <w:rFonts w:hint="eastAsia"/>
        </w:rPr>
        <w:t>°C，常压）下将难脱除的有机硫化物选择性氧化为极性更强的砜类和亚砜类化合物，随后通过液–液萃取、吸附或极性膜分离等手段将其从非极性烃相中脱除。CODS</w:t>
      </w:r>
      <w:r>
        <w:t xml:space="preserve"> </w:t>
      </w:r>
      <w:r>
        <w:rPr>
          <w:rFonts w:hint="eastAsia"/>
        </w:rPr>
        <w:t>技术的突出优势在于：①</w:t>
      </w:r>
      <w:r>
        <w:t xml:space="preserve"> </w:t>
      </w:r>
      <w:r>
        <w:rPr>
          <w:rFonts w:hint="eastAsia"/>
        </w:rPr>
        <w:t>对噻吩类硫化物的极高氧化活性，可在常压低温条件下实现脱硫率</w:t>
      </w:r>
      <w:r>
        <w:t xml:space="preserve"> &gt; </w:t>
      </w:r>
      <w:r>
        <w:rPr>
          <w:rFonts w:hint="eastAsia"/>
        </w:rPr>
        <w:t>99.9%；②</w:t>
      </w:r>
      <w:r>
        <w:t xml:space="preserve"> </w:t>
      </w:r>
      <w:r>
        <w:rPr>
          <w:rFonts w:hint="eastAsia"/>
        </w:rPr>
        <w:t>良好的化学选择性，饱和烷烃在此条件下几乎不发生氧化副反应；③</w:t>
      </w:r>
      <w:r>
        <w:t xml:space="preserve"> </w:t>
      </w:r>
      <w:r>
        <w:rPr>
          <w:rFonts w:hint="eastAsia"/>
        </w:rPr>
        <w:t>无需高压氢气，操作安全性和经济性显著优于</w:t>
      </w:r>
      <w:r>
        <w:t xml:space="preserve"> HDS。</w:t>
      </w:r>
    </w:p>
    <w:p w14:paraId="1ED171E4">
      <w:pPr>
        <w:pStyle w:val="3"/>
      </w:pPr>
      <w:r>
        <w:rPr>
          <w:rFonts w:hint="eastAsia"/>
        </w:rPr>
        <w:t>尽管</w:t>
      </w:r>
      <w:r>
        <w:t xml:space="preserve"> CODS </w:t>
      </w:r>
      <w:r>
        <w:rPr>
          <w:rFonts w:hint="eastAsia"/>
        </w:rPr>
        <w:t>技术在实验室尺度取得了丰硕成果，但现有研究大多聚焦于模拟油品体系中的单分子或双分子模型化合物，对煤制气副产轻烃这一特定体系的系统性认识仍存在明显不足。具体而言，当前领域面临以下核心科学问题：</w:t>
      </w:r>
    </w:p>
    <w:p w14:paraId="414C4112">
      <w:pPr>
        <w:pStyle w:val="3"/>
      </w:pPr>
      <w:r>
        <w:rPr>
          <w:rFonts w:hint="eastAsia"/>
        </w:rPr>
        <w:t>（1）</w:t>
      </w:r>
      <w:r>
        <w:rPr>
          <w:rFonts w:hint="eastAsia"/>
          <w:b/>
          <w:bCs/>
        </w:rPr>
        <w:t>污染物形态认知碎片化。</w:t>
      </w:r>
      <w:r>
        <w:t xml:space="preserve"> </w:t>
      </w:r>
      <w:r>
        <w:rPr>
          <w:rFonts w:hint="eastAsia"/>
        </w:rPr>
        <w:t>煤制气副产轻烃中的硫/氮杂质种类繁杂，涵盖硫醇、硫醚、二硫化物、噻吩类以及吡啶类、吡咯类等氮化物，不同形态化合物在轻烃各馏分中的分布规律及其恶臭贡献权重尚缺乏系统梳理。</w:t>
      </w:r>
    </w:p>
    <w:p w14:paraId="4407CC56">
      <w:pPr>
        <w:pStyle w:val="3"/>
      </w:pPr>
      <w:r>
        <w:rPr>
          <w:rFonts w:hint="eastAsia"/>
        </w:rPr>
        <w:t>（2）</w:t>
      </w:r>
      <w:r>
        <w:rPr>
          <w:rFonts w:hint="eastAsia"/>
          <w:b/>
          <w:bCs/>
        </w:rPr>
        <w:t>单分子活化机制与真实体系之间的鸿沟。</w:t>
      </w:r>
      <w:r>
        <w:t xml:space="preserve"> </w:t>
      </w:r>
      <w:r>
        <w:rPr>
          <w:rFonts w:hint="eastAsia"/>
        </w:rPr>
        <w:t>大量关于</w:t>
      </w:r>
      <w:r>
        <w:t xml:space="preserve"> CODS </w:t>
      </w:r>
      <w:r>
        <w:rPr>
          <w:rFonts w:hint="eastAsia"/>
        </w:rPr>
        <w:t>的报道基于单一硫化物模型体系，揭示了活性中心的电子转移路径和过渡态结构。然而，当从单分子体系扩展到包含数十种硫化物、氮化物、烯烃及芳烃的真实轻烃混合物时，多组分竞争吸附、共转化网络及基质效应将如何改变单分子层面的反应路径，目前仍缺乏深入的机理阐释。</w:t>
      </w:r>
    </w:p>
    <w:p w14:paraId="3DED60DF">
      <w:pPr>
        <w:pStyle w:val="3"/>
      </w:pPr>
      <w:r>
        <w:rPr>
          <w:rFonts w:hint="eastAsia"/>
        </w:rPr>
        <w:t>（3）</w:t>
      </w:r>
      <w:r>
        <w:rPr>
          <w:rFonts w:hint="eastAsia"/>
          <w:b/>
          <w:bCs/>
        </w:rPr>
        <w:t>抗干扰催化剂设计的理论指导不足。</w:t>
      </w:r>
      <w:r>
        <w:t xml:space="preserve"> </w:t>
      </w:r>
      <w:r>
        <w:rPr>
          <w:rFonts w:hint="eastAsia"/>
        </w:rPr>
        <w:t>含氮化合物的碱性毒化、烯烃的竞争环氧化以及微量水对催化剂表面润湿性的调控，均显著影响</w:t>
      </w:r>
      <w:r>
        <w:t xml:space="preserve"> CODS </w:t>
      </w:r>
      <w:r>
        <w:rPr>
          <w:rFonts w:hint="eastAsia"/>
        </w:rPr>
        <w:t>过程的长期稳定性和选择性。如何基于对多元共转化网络的深入理解，设计出兼具高脱硫选择性和抗氮/抗烯烃干扰能力的负载型催化剂，是当前亟待突破的技术瓶颈。</w:t>
      </w:r>
    </w:p>
    <w:p w14:paraId="375F93CC">
      <w:pPr>
        <w:pStyle w:val="3"/>
      </w:pPr>
      <w:r>
        <w:rPr>
          <w:rFonts w:hint="eastAsia"/>
        </w:rPr>
        <w:t>本文旨在系统综述面向煤制气副产轻烃深度除臭的负载型催化剂氧化机制研究进展，重点围绕从单分子活化到真实油品中多元硫/氮共转化网络的理论框架展开论述。首先，解析煤制气副产轻烃中恶臭微量硫/氮污染物的赋存形态及其协同效应；其次，深入探讨负载型催化剂上单分子硫/氮化合物的微观氧化机制，包括活性中心构建、氧化剂活化历程及单分子反应动力学；进而，从同质竞争、异质干扰和基质效应三个维度，构建真实轻烃体系中多元硫/氮共转化网络的理论模型；最后，总结催化剂失活机制与再生策略，并对未来抗氮、抗烯烃干扰的高选择性负载型催化剂的设计方向进行展望。本文期望为煤制气副产轻烃深度除臭技术的理论深化与工程应用提供系统的参考框架。</w:t>
      </w:r>
    </w:p>
    <w:p w14:paraId="75B1559D"/>
    <w:bookmarkEnd w:id="1"/>
    <w:p w14:paraId="5023C563">
      <w:pPr>
        <w:pStyle w:val="4"/>
      </w:pPr>
      <w:bookmarkStart w:id="2" w:name="一-煤制气副产轻烃中恶臭微量硫氮污染物的形态解析"/>
      <w:r>
        <w:rPr>
          <w:rFonts w:hint="eastAsia"/>
        </w:rPr>
        <w:t>一、</w:t>
      </w:r>
      <w:r>
        <w:t xml:space="preserve"> </w:t>
      </w:r>
      <w:r>
        <w:rPr>
          <w:rFonts w:hint="eastAsia"/>
        </w:rPr>
        <w:t>煤制气副产轻烃中恶臭微量硫/氮污染物的形态解析</w:t>
      </w:r>
    </w:p>
    <w:p w14:paraId="6129F9D4">
      <w:pPr>
        <w:pStyle w:val="23"/>
      </w:pPr>
      <w:r>
        <w:rPr>
          <w:rFonts w:hint="eastAsia"/>
        </w:rPr>
        <w:t>煤制气副产轻烃中的硫/氮杂质来源于原料煤中有机硫和有机氮在高温气化及催化合成过程中的热解转化。煤中的硫元素主要以无机硫（黄铁矿硫</w:t>
      </w:r>
      <w:r>
        <w:t xml:space="preserve"> </w:t>
      </w:r>
      <w:r>
        <w:rPr>
          <w:rFonts w:hint="eastAsia"/>
        </w:rPr>
        <w:t>FeS₂、硫酸盐硫）和有机硫（硫醇、硫醚、噻吩等）形式存在，而氮元素则以吡啶型氮、吡咯型氮及季氮等形式嵌入煤大分子芳香结构中。在煤气化（温度</w:t>
      </w:r>
      <w:r>
        <w:t xml:space="preserve"> 1300–1500 </w:t>
      </w:r>
      <w:r>
        <w:rPr>
          <w:rFonts w:hint="eastAsia"/>
        </w:rPr>
        <w:t>°C）和催化合成（温度</w:t>
      </w:r>
      <w:r>
        <w:t xml:space="preserve"> 200–400 </w:t>
      </w:r>
      <w:r>
        <w:rPr>
          <w:rFonts w:hint="eastAsia"/>
        </w:rPr>
        <w:t>°C）过程中，这些杂原子化合物经历复杂的裂解–重组反应，最终部分以气态硫化物和氮化物形式进入副产轻烃物流。由于轻烃组分（C₁–C₄</w:t>
      </w:r>
      <w:r>
        <w:t xml:space="preserve"> </w:t>
      </w:r>
      <w:r>
        <w:rPr>
          <w:rFonts w:hint="eastAsia"/>
        </w:rPr>
        <w:t>饱和烃）本身化学惰性高、极性低，其中溶解的微量硫/氮杂质表现出极强的活性和感官危害性，成为制约下游应用的”短板因子”。</w:t>
      </w:r>
    </w:p>
    <w:p w14:paraId="4795AF9A">
      <w:pPr>
        <w:pStyle w:val="5"/>
      </w:pPr>
      <w:bookmarkStart w:id="3" w:name="硫化物赋存形态及其分布特征"/>
      <w:r>
        <w:t xml:space="preserve">1.1 </w:t>
      </w:r>
      <w:r>
        <w:rPr>
          <w:rFonts w:hint="eastAsia"/>
        </w:rPr>
        <w:t>硫化物赋存形态及其分布特征</w:t>
      </w:r>
    </w:p>
    <w:p w14:paraId="06B3A544">
      <w:pPr>
        <w:pStyle w:val="23"/>
      </w:pPr>
      <w:r>
        <w:rPr>
          <w:rFonts w:hint="eastAsia"/>
        </w:rPr>
        <w:t>煤制气副产轻烃中的硫化物种类繁多，按化学结构可划分为脂肪族硫化物和芳香族硫化物两大类，前者主要包括硫醇和硫醚，后者以噻吩及其衍生物为主。不同结构硫化物在轻烃各馏分中的分布与其沸点和极性密切相关，呈现出明显的沸点梯度关联。</w:t>
      </w:r>
    </w:p>
    <w:p w14:paraId="137BE693">
      <w:pPr>
        <w:pStyle w:val="3"/>
      </w:pPr>
      <w:r>
        <w:rPr>
          <w:rFonts w:hint="eastAsia"/>
          <w:b/>
          <w:bCs/>
        </w:rPr>
        <w:t>硫醇（Mercaptans）</w:t>
      </w:r>
      <w:r>
        <w:t xml:space="preserve"> </w:t>
      </w:r>
      <w:r>
        <w:rPr>
          <w:rFonts w:hint="eastAsia"/>
        </w:rPr>
        <w:t>是最具恶臭特征的硫化物类别。甲硫醇（CH₃SH，沸点</w:t>
      </w:r>
      <w:r>
        <w:t xml:space="preserve"> 5.95 </w:t>
      </w:r>
      <w:r>
        <w:rPr>
          <w:rFonts w:hint="eastAsia"/>
        </w:rPr>
        <w:t>°C）和乙硫醇（C₂H₅SH，沸点</w:t>
      </w:r>
      <w:r>
        <w:t xml:space="preserve"> 35.0 </w:t>
      </w:r>
      <w:r>
        <w:rPr>
          <w:rFonts w:hint="eastAsia"/>
        </w:rPr>
        <w:t>°C）是煤制气副产轻烃中最常见的脂肪族硫醇。硫醇类化合物的嗅觉阈值极低——甲硫醇的嗅觉阈值约为</w:t>
      </w:r>
      <w:r>
        <w:t xml:space="preserve"> 0.0013 </w:t>
      </w:r>
      <w:r>
        <w:rPr>
          <w:rFonts w:hint="eastAsia"/>
        </w:rPr>
        <w:t>ppm（1.3</w:t>
      </w:r>
      <w:r>
        <w:t xml:space="preserve"> </w:t>
      </w:r>
      <w:r>
        <w:rPr>
          <w:rFonts w:hint="eastAsia"/>
        </w:rPr>
        <w:t>ppb），乙硫醇更是低至</w:t>
      </w:r>
      <w:r>
        <w:t xml:space="preserve"> 0.0004 </w:t>
      </w:r>
      <w:r>
        <w:rPr>
          <w:rFonts w:hint="eastAsia"/>
        </w:rPr>
        <w:t>ppm（0.4</w:t>
      </w:r>
      <w:r>
        <w:t xml:space="preserve"> </w:t>
      </w:r>
      <w:r>
        <w:rPr>
          <w:rFonts w:hint="eastAsia"/>
        </w:rPr>
        <w:t>ppb），这意味着即使含量在</w:t>
      </w:r>
      <w:r>
        <w:t xml:space="preserve"> ppb </w:t>
      </w:r>
      <w:r>
        <w:rPr>
          <w:rFonts w:hint="eastAsia"/>
        </w:rPr>
        <w:t>量级，也足以产生令人难以忍受的恶臭。硫醇的形成机制主要归因于煤气化过程中煤大分子骨架中</w:t>
      </w:r>
      <w:r>
        <w:t xml:space="preserve"> C–S </w:t>
      </w:r>
      <w:r>
        <w:rPr>
          <w:rFonts w:hint="eastAsia"/>
        </w:rPr>
        <w:t>键的热断裂以及</w:t>
      </w:r>
      <w:r>
        <w:t xml:space="preserve"> H₂S </w:t>
      </w:r>
      <w:r>
        <w:rPr>
          <w:rFonts w:hint="eastAsia"/>
        </w:rPr>
        <w:t>与相应烷基自由基的加成反应：</w:t>
      </w:r>
    </w:p>
    <w:p w14:paraId="0D36AE26">
      <w:pPr>
        <w:pStyle w:val="3"/>
      </w:pPr>
      <m:oMathPara>
        <m:oMathParaPr>
          <m:jc m:val="center"/>
        </m:oMathParaPr>
        <m:oMath>
          <m:r>
            <m:rPr>
              <m:sty m:val="p"/>
            </m:rPr>
            <m:t>R⋅+</m:t>
          </m:r>
          <m:sSub>
            <m:sSubPr/>
            <m:e>
              <m:r>
                <m:rPr>
                  <m:sty m:val="p"/>
                </m:rPr>
                <m:t>H</m:t>
              </m:r>
            </m:e>
            <m:sub>
              <m:r>
                <m:rPr>
                  <m:sty m:val="p"/>
                </m:rPr>
                <m:t>2</m:t>
              </m:r>
            </m:sub>
          </m:sSub>
          <m:r>
            <m:rPr>
              <m:sty m:val="p"/>
            </m:rPr>
            <m:t>S</m:t>
          </m:r>
          <m:limUpp>
            <m:limUppPr/>
            <m:e>
              <m:r>
                <m:rPr>
                  <m:sty m:val="p"/>
                </m:rPr>
                <m:t>→</m:t>
              </m:r>
            </m:e>
            <m:lim>
              <m:r>
                <m:rPr>
                  <m:sty m:val="p"/>
                </m:rPr>
                <m:t>cat</m:t>
              </m:r>
            </m:lim>
          </m:limUpp>
          <m:r>
            <m:rPr>
              <m:sty m:val="p"/>
            </m:rPr>
            <m:t>RSH+H⋅</m:t>
          </m:r>
        </m:oMath>
      </m:oMathPara>
    </w:p>
    <w:p w14:paraId="298E2689">
      <w:pPr>
        <w:pStyle w:val="23"/>
      </w:pPr>
      <w:r>
        <w:rPr>
          <w:rFonts w:hint="eastAsia"/>
        </w:rPr>
        <w:t>其中</w:t>
      </w:r>
      <w:r>
        <w:t xml:space="preserve"> R· </w:t>
      </w:r>
      <w:r>
        <w:rPr>
          <w:rFonts w:hint="eastAsia"/>
        </w:rPr>
        <w:t>代表由烃类裂解产生的甲基、乙基等烷基自由基。由于硫醇的沸点与轻烃主体组分（甲烷沸点</w:t>
      </w:r>
      <w:r>
        <w:t xml:space="preserve"> –161.5 </w:t>
      </w:r>
      <w:r>
        <w:rPr>
          <w:rFonts w:hint="eastAsia"/>
        </w:rPr>
        <w:t>°C、乙烷</w:t>
      </w:r>
      <w:r>
        <w:t xml:space="preserve"> –88.6 </w:t>
      </w:r>
      <w:r>
        <w:rPr>
          <w:rFonts w:hint="eastAsia"/>
        </w:rPr>
        <w:t>°C、丙烷</w:t>
      </w:r>
      <w:r>
        <w:t xml:space="preserve"> –42.1 </w:t>
      </w:r>
      <w:r>
        <w:rPr>
          <w:rFonts w:hint="eastAsia"/>
        </w:rPr>
        <w:t>°C）较为接近，其在轻烃各馏分中的分配系数受操作温度和压力的显著影响，通常在</w:t>
      </w:r>
      <w:r>
        <w:t xml:space="preserve"> C₂ </w:t>
      </w:r>
      <w:r>
        <w:rPr>
          <w:rFonts w:hint="eastAsia"/>
        </w:rPr>
        <w:t>及以上馏分中富集程度更高。</w:t>
      </w:r>
    </w:p>
    <w:p w14:paraId="094F6F72">
      <w:pPr>
        <w:pStyle w:val="3"/>
      </w:pPr>
      <w:r>
        <w:rPr>
          <w:rFonts w:hint="eastAsia"/>
          <w:b/>
          <w:bCs/>
        </w:rPr>
        <w:t>硫醚（Sulfides）</w:t>
      </w:r>
      <w:r>
        <w:t xml:space="preserve"> </w:t>
      </w:r>
      <w:r>
        <w:rPr>
          <w:rFonts w:hint="eastAsia"/>
        </w:rPr>
        <w:t>包括二甲硫（DMS,</w:t>
      </w:r>
      <w:r>
        <w:t xml:space="preserve"> </w:t>
      </w:r>
      <w:r>
        <w:rPr>
          <w:rFonts w:hint="eastAsia"/>
        </w:rPr>
        <w:t>(CH₃)₂S，沸点</w:t>
      </w:r>
      <w:r>
        <w:t xml:space="preserve"> 37 </w:t>
      </w:r>
      <w:r>
        <w:rPr>
          <w:rFonts w:hint="eastAsia"/>
        </w:rPr>
        <w:t>°C）、甲乙硫（EMS,</w:t>
      </w:r>
      <w:r>
        <w:t xml:space="preserve"> </w:t>
      </w:r>
      <w:r>
        <w:rPr>
          <w:rFonts w:hint="eastAsia"/>
        </w:rPr>
        <w:t>CH₃SC₂H₅，沸点</w:t>
      </w:r>
      <w:r>
        <w:t xml:space="preserve"> 67 </w:t>
      </w:r>
      <w:r>
        <w:rPr>
          <w:rFonts w:hint="eastAsia"/>
        </w:rPr>
        <w:t>°C）等。硫醚的恶臭强度略低于同碳数硫醇，但仍具有明显的刺激性气味。在煤制气体系中，硫醚主要由</w:t>
      </w:r>
      <w:r>
        <w:t xml:space="preserve"> COS </w:t>
      </w:r>
      <w:r>
        <w:rPr>
          <w:rFonts w:hint="eastAsia"/>
        </w:rPr>
        <w:t>和</w:t>
      </w:r>
      <w:r>
        <w:t xml:space="preserve"> CS₂ </w:t>
      </w:r>
      <w:r>
        <w:rPr>
          <w:rFonts w:hint="eastAsia"/>
        </w:rPr>
        <w:t>中间体的加氢转化生成：</w:t>
      </w:r>
    </w:p>
    <w:p w14:paraId="4CDFD284">
      <w:pPr>
        <w:pStyle w:val="3"/>
      </w:pPr>
      <m:oMathPara>
        <m:oMathParaPr>
          <m:jc m:val="center"/>
        </m:oMathParaPr>
        <m:oMath>
          <m:r>
            <m:rPr>
              <m:sty m:val="p"/>
            </m:rPr>
            <m:t>COS+2</m:t>
          </m:r>
          <m:sSub>
            <m:sSubPr/>
            <m:e>
              <m:r>
                <m:rPr>
                  <m:sty m:val="p"/>
                </m:rPr>
                <m:t>H</m:t>
              </m:r>
            </m:e>
            <m:sub>
              <m:r>
                <m:rPr>
                  <m:sty m:val="p"/>
                </m:rPr>
                <m:t>2</m:t>
              </m:r>
            </m:sub>
          </m:sSub>
          <m:r>
            <m:rPr>
              <m:sty m:val="p"/>
            </m:rPr>
            <m:t>→C</m:t>
          </m:r>
          <m:sSub>
            <m:sSubPr/>
            <m:e>
              <m:r>
                <m:rPr>
                  <m:sty m:val="p"/>
                </m:rPr>
                <m:t>H</m:t>
              </m:r>
            </m:e>
            <m:sub>
              <m:r>
                <m:rPr>
                  <m:sty m:val="p"/>
                </m:rPr>
                <m:t>3</m:t>
              </m:r>
            </m:sub>
          </m:sSub>
          <m:r>
            <m:rPr>
              <m:sty m:val="p"/>
            </m:rPr>
            <m:t>SH+</m:t>
          </m:r>
          <m:sSub>
            <m:sSubPr/>
            <m:e>
              <m:r>
                <m:rPr>
                  <m:sty m:val="p"/>
                </m:rPr>
                <m:t>H</m:t>
              </m:r>
            </m:e>
            <m:sub>
              <m:r>
                <m:rPr>
                  <m:sty m:val="p"/>
                </m:rPr>
                <m:t>2</m:t>
              </m:r>
            </m:sub>
          </m:sSub>
          <m:r>
            <m:rPr>
              <m:sty m:val="p"/>
            </m:rPr>
            <m:t>O</m:t>
          </m:r>
        </m:oMath>
      </m:oMathPara>
    </w:p>
    <w:p w14:paraId="7B2F4408">
      <w:pPr>
        <w:pStyle w:val="23"/>
      </w:pPr>
      <m:oMathPara>
        <m:oMathParaPr>
          <m:jc m:val="center"/>
        </m:oMathParaPr>
        <m:oMath>
          <m:r>
            <m:rPr>
              <m:sty m:val="p"/>
            </m:rPr>
            <m:t>C</m:t>
          </m:r>
          <m:sSub>
            <m:sSubPr/>
            <m:e>
              <m:r>
                <m:rPr>
                  <m:sty m:val="p"/>
                </m:rPr>
                <m:t>H</m:t>
              </m:r>
            </m:e>
            <m:sub>
              <m:r>
                <m:rPr>
                  <m:sty m:val="p"/>
                </m:rPr>
                <m:t>3</m:t>
              </m:r>
            </m:sub>
          </m:sSub>
          <m:r>
            <m:rPr>
              <m:sty m:val="p"/>
            </m:rPr>
            <m:t>SH+C</m:t>
          </m:r>
          <m:sSub>
            <m:sSubPr/>
            <m:e>
              <m:r>
                <m:rPr>
                  <m:sty m:val="p"/>
                </m:rPr>
                <m:t>H</m:t>
              </m:r>
            </m:e>
            <m:sub>
              <m:r>
                <m:rPr>
                  <m:sty m:val="p"/>
                </m:rPr>
                <m:t>3</m:t>
              </m:r>
            </m:sub>
          </m:sSub>
          <m:r>
            <m:rPr>
              <m:sty m:val="p"/>
            </m:rPr>
            <m:t>OH→(C</m:t>
          </m:r>
          <m:sSub>
            <m:sSubPr/>
            <m:e>
              <m:r>
                <m:rPr>
                  <m:sty m:val="p"/>
                </m:rPr>
                <m:t>H</m:t>
              </m:r>
            </m:e>
            <m:sub>
              <m:r>
                <m:rPr>
                  <m:sty m:val="p"/>
                </m:rPr>
                <m:t>3</m:t>
              </m:r>
            </m:sub>
          </m:sSub>
          <m:sSub>
            <m:sSubPr/>
            <m:e>
              <m:r>
                <m:rPr>
                  <m:sty m:val="p"/>
                </m:rPr>
                <m:t>)</m:t>
              </m:r>
            </m:e>
            <m:sub>
              <m:r>
                <m:rPr>
                  <m:sty m:val="p"/>
                </m:rPr>
                <m:t>2</m:t>
              </m:r>
            </m:sub>
          </m:sSub>
          <m:r>
            <m:rPr>
              <m:sty m:val="p"/>
            </m:rPr>
            <m:t>S+</m:t>
          </m:r>
          <m:sSub>
            <m:sSubPr/>
            <m:e>
              <m:r>
                <m:rPr>
                  <m:sty m:val="p"/>
                </m:rPr>
                <m:t>H</m:t>
              </m:r>
            </m:e>
            <m:sub>
              <m:r>
                <m:rPr>
                  <m:sty m:val="p"/>
                </m:rPr>
                <m:t>2</m:t>
              </m:r>
            </m:sub>
          </m:sSub>
          <m:r>
            <m:rPr>
              <m:sty m:val="p"/>
            </m:rPr>
            <m:t>O</m:t>
          </m:r>
        </m:oMath>
      </m:oMathPara>
    </w:p>
    <w:p w14:paraId="20CBCD15">
      <w:pPr>
        <w:pStyle w:val="23"/>
      </w:pPr>
      <w:r>
        <w:rPr>
          <w:rFonts w:hint="eastAsia"/>
          <w:b/>
          <w:bCs/>
        </w:rPr>
        <w:t>二硫化物（Disulfides）</w:t>
      </w:r>
      <w:r>
        <w:t xml:space="preserve"> </w:t>
      </w:r>
      <w:r>
        <w:rPr>
          <w:rFonts w:hint="eastAsia"/>
        </w:rPr>
        <w:t>如二甲基二硫（DMDS,</w:t>
      </w:r>
      <w:r>
        <w:t xml:space="preserve"> </w:t>
      </w:r>
      <w:r>
        <w:rPr>
          <w:rFonts w:hint="eastAsia"/>
        </w:rPr>
        <w:t>CH₃SSCH₃，沸点</w:t>
      </w:r>
      <w:r>
        <w:t xml:space="preserve"> 109 </w:t>
      </w:r>
      <w:r>
        <w:rPr>
          <w:rFonts w:hint="eastAsia"/>
        </w:rPr>
        <w:t>°C）和二乙基二硫（DEDS,</w:t>
      </w:r>
      <w:r>
        <w:t xml:space="preserve"> </w:t>
      </w:r>
      <w:r>
        <w:rPr>
          <w:rFonts w:hint="eastAsia"/>
        </w:rPr>
        <w:t>C₂H₅SSC₂H₅，沸点</w:t>
      </w:r>
      <w:r>
        <w:t xml:space="preserve"> 163 </w:t>
      </w:r>
      <w:r>
        <w:rPr>
          <w:rFonts w:hint="eastAsia"/>
        </w:rPr>
        <w:t>°C）在轻烃中的含量通常较低，但由于其较高的沸点和较强的氧化活性，在后续储存和运输过程中可能作为硫醇的氧化产物逐渐积累。DMDS</w:t>
      </w:r>
      <w:r>
        <w:t xml:space="preserve"> </w:t>
      </w:r>
      <w:r>
        <w:rPr>
          <w:rFonts w:hint="eastAsia"/>
        </w:rPr>
        <w:t>的嗅觉阈值约为</w:t>
      </w:r>
      <w:r>
        <w:t xml:space="preserve"> 0.003 </w:t>
      </w:r>
      <w:r>
        <w:rPr>
          <w:rFonts w:hint="eastAsia"/>
        </w:rPr>
        <w:t>ppm，是重要的异味贡献因子。</w:t>
      </w:r>
    </w:p>
    <w:p w14:paraId="2EF095B7">
      <w:pPr>
        <w:pStyle w:val="3"/>
      </w:pPr>
      <w:r>
        <w:rPr>
          <w:rFonts w:hint="eastAsia"/>
          <w:b/>
          <w:bCs/>
        </w:rPr>
        <w:t>噻吩类（Thiophenes）</w:t>
      </w:r>
      <w:r>
        <w:t xml:space="preserve"> </w:t>
      </w:r>
      <w:r>
        <w:rPr>
          <w:rFonts w:hint="eastAsia"/>
        </w:rPr>
        <w:t>是煤制气副产轻烃中最难脱除的硫化物类别，包括噻吩（Thiophene,</w:t>
      </w:r>
      <w:r>
        <w:t xml:space="preserve"> bp 84 </w:t>
      </w:r>
      <w:r>
        <w:rPr>
          <w:rFonts w:hint="eastAsia"/>
        </w:rPr>
        <w:t>°C）、苯并噻吩（BTH,</w:t>
      </w:r>
      <w:r>
        <w:t xml:space="preserve"> bp 220 </w:t>
      </w:r>
      <w:r>
        <w:rPr>
          <w:rFonts w:hint="eastAsia"/>
        </w:rPr>
        <w:t>°C）和二苯并噻吩（DBT,</w:t>
      </w:r>
      <w:r>
        <w:t xml:space="preserve"> bp 304 </w:t>
      </w:r>
      <w:r>
        <w:rPr>
          <w:rFonts w:hint="eastAsia"/>
        </w:rPr>
        <w:t>°C）及其烷基取代衍生物。与脂肪族硫化物不同，噻吩类化合物具有芳香性共轭结构，C–S</w:t>
      </w:r>
      <w:r>
        <w:t xml:space="preserve"> </w:t>
      </w:r>
      <w:r>
        <w:rPr>
          <w:rFonts w:hint="eastAsia"/>
        </w:rPr>
        <w:t>键能高达</w:t>
      </w:r>
      <w:r>
        <w:t xml:space="preserve"> ~293 </w:t>
      </w:r>
      <w:r>
        <w:rPr>
          <w:rFonts w:hint="eastAsia"/>
        </w:rPr>
        <w:t>kJ·mol⁻¹，远高于硫醇中</w:t>
      </w:r>
      <w:r>
        <w:t xml:space="preserve"> C–S </w:t>
      </w:r>
      <w:r>
        <w:rPr>
          <w:rFonts w:hint="eastAsia"/>
        </w:rPr>
        <w:t>键的</w:t>
      </w:r>
      <w:r>
        <w:t xml:space="preserve"> ~272 </w:t>
      </w:r>
      <w:r>
        <w:rPr>
          <w:rFonts w:hint="eastAsia"/>
        </w:rPr>
        <w:t>kJ·mol⁻¹，这使其在加氢条件下表现出极高的化学稳定性。噻吩在轻烃中的来源主要涉及煤气化高温区中煤芳香结构的碎片化重组——煤中大分子芳香片层边缘的含硫杂环在高温下脱落并进入气相，经冷却后以噻吩及其衍生物的形式存在于轻烃馏分中。</w:t>
      </w:r>
    </w:p>
    <w:p w14:paraId="04ED9508">
      <w:pPr>
        <w:pStyle w:val="3"/>
      </w:pPr>
      <w:r>
        <w:rPr>
          <w:rFonts w:hint="eastAsia"/>
        </w:rPr>
        <w:t>值得注意的是，噻吩类硫化物虽然嗅觉阈值（约</w:t>
      </w:r>
      <w:r>
        <w:t xml:space="preserve"> 10–50 </w:t>
      </w:r>
      <w:r>
        <w:rPr>
          <w:rFonts w:hint="eastAsia"/>
        </w:rPr>
        <w:t>ppm）远高于硫醇类，因而在”恶臭”感官层面贡献较小，但其在催化氧化脱硫中的难脱除性使其成为</w:t>
      </w:r>
      <w:r>
        <w:t xml:space="preserve"> CODS </w:t>
      </w:r>
      <w:r>
        <w:rPr>
          <w:rFonts w:hint="eastAsia"/>
        </w:rPr>
        <w:t>技术的主要作用对象。在煤制天然气入网标准中，噻吩类总硫含量通常被单独控制，要求</w:t>
      </w:r>
      <w:r>
        <w:t xml:space="preserve"> ≤ 0.1 mg·m⁻³。</w:t>
      </w:r>
    </w:p>
    <w:p w14:paraId="1DDC7E39">
      <w:pPr>
        <w:pStyle w:val="3"/>
      </w:pPr>
      <w:r>
        <w:rPr>
          <w:rFonts w:hint="eastAsia"/>
        </w:rPr>
        <w:t>表</w:t>
      </w:r>
      <w:r>
        <w:t xml:space="preserve"> 1 </w:t>
      </w:r>
      <w:r>
        <w:rPr>
          <w:rFonts w:hint="eastAsia"/>
        </w:rPr>
        <w:t>总结了煤制气副产轻烃中主要硫化物的物理化学性质及分布特征。</w:t>
      </w:r>
    </w:p>
    <w:p w14:paraId="5FBE9381">
      <w:pPr>
        <w:pStyle w:val="3"/>
      </w:pPr>
      <w:r>
        <w:rPr>
          <w:rFonts w:hint="eastAsia"/>
          <w:b/>
          <w:bCs/>
        </w:rPr>
        <w:t>表</w:t>
      </w:r>
      <w:r>
        <w:rPr>
          <w:b/>
          <w:bCs/>
        </w:rPr>
        <w:t xml:space="preserve"> 1 </w:t>
      </w:r>
      <w:r>
        <w:rPr>
          <w:rFonts w:hint="eastAsia"/>
          <w:b/>
          <w:bCs/>
        </w:rPr>
        <w:t>煤制气副产轻烃中主要硫化物的理化性质与分布特征</w:t>
      </w:r>
    </w:p>
    <w:tbl>
      <w:tblPr>
        <w:tblStyle w:val="41"/>
        <w:tblW w:w="0" w:type="auto"/>
        <w:tblInd w:w="0" w:type="dxa"/>
        <w:tblLayout w:type="autofit"/>
        <w:tblCellMar>
          <w:top w:w="0" w:type="dxa"/>
          <w:left w:w="108" w:type="dxa"/>
          <w:bottom w:w="0" w:type="dxa"/>
          <w:right w:w="108" w:type="dxa"/>
        </w:tblCellMar>
      </w:tblPr>
      <w:tblGrid>
        <w:gridCol w:w="1416"/>
        <w:gridCol w:w="1285"/>
        <w:gridCol w:w="1030"/>
        <w:gridCol w:w="1759"/>
        <w:gridCol w:w="1391"/>
        <w:gridCol w:w="1176"/>
      </w:tblGrid>
      <w:tr w14:paraId="1824FD39">
        <w:tblPrEx>
          <w:tblCellMar>
            <w:top w:w="0" w:type="dxa"/>
            <w:left w:w="108" w:type="dxa"/>
            <w:bottom w:w="0" w:type="dxa"/>
            <w:right w:w="108" w:type="dxa"/>
          </w:tblCellMar>
        </w:tblPrEx>
        <w:trPr>
          <w:tblHeader/>
        </w:trPr>
        <w:tc>
          <w:p w14:paraId="0D6CFEE1">
            <w:pPr>
              <w:pStyle w:val="24"/>
            </w:pPr>
            <w:r>
              <w:rPr>
                <w:rFonts w:hint="eastAsia"/>
              </w:rPr>
              <w:t>硫化物名称</w:t>
            </w:r>
          </w:p>
        </w:tc>
        <w:tc>
          <w:p w14:paraId="34B9AF22">
            <w:pPr>
              <w:pStyle w:val="24"/>
            </w:pPr>
            <w:r>
              <w:rPr>
                <w:rFonts w:hint="eastAsia"/>
              </w:rPr>
              <w:t>化学式</w:t>
            </w:r>
          </w:p>
        </w:tc>
        <w:tc>
          <w:p w14:paraId="284F5E93">
            <w:pPr>
              <w:pStyle w:val="24"/>
            </w:pPr>
            <w:r>
              <w:rPr>
                <w:rFonts w:hint="eastAsia"/>
              </w:rPr>
              <w:t>沸点/°C</w:t>
            </w:r>
          </w:p>
        </w:tc>
        <w:tc>
          <w:p w14:paraId="32B7EA7A">
            <w:pPr>
              <w:pStyle w:val="24"/>
            </w:pPr>
            <w:r>
              <w:rPr>
                <w:rFonts w:hint="eastAsia"/>
              </w:rPr>
              <w:t>嗅觉阈值/ppm</w:t>
            </w:r>
          </w:p>
        </w:tc>
        <w:tc>
          <w:p w14:paraId="54303BB9">
            <w:pPr>
              <w:pStyle w:val="24"/>
            </w:pPr>
            <w:r>
              <w:t xml:space="preserve">C </w:t>
            </w:r>
            <w:r>
              <w:rPr>
                <w:rFonts w:hint="eastAsia"/>
              </w:rPr>
              <w:t>分布倾向</w:t>
            </w:r>
          </w:p>
        </w:tc>
        <w:tc>
          <w:p w14:paraId="57726EF2">
            <w:pPr>
              <w:pStyle w:val="24"/>
            </w:pPr>
            <w:r>
              <w:rPr>
                <w:rFonts w:hint="eastAsia"/>
              </w:rPr>
              <w:t>氧化难易</w:t>
            </w:r>
          </w:p>
        </w:tc>
      </w:tr>
      <w:tr w14:paraId="552FE84C">
        <w:tblPrEx>
          <w:tblCellMar>
            <w:top w:w="0" w:type="dxa"/>
            <w:left w:w="108" w:type="dxa"/>
            <w:bottom w:w="0" w:type="dxa"/>
            <w:right w:w="108" w:type="dxa"/>
          </w:tblCellMar>
        </w:tblPrEx>
        <w:tc>
          <w:p w14:paraId="6AB5667D">
            <w:pPr>
              <w:pStyle w:val="24"/>
            </w:pPr>
            <w:r>
              <w:rPr>
                <w:rFonts w:hint="eastAsia"/>
              </w:rPr>
              <w:t>甲硫醇</w:t>
            </w:r>
          </w:p>
        </w:tc>
        <w:tc>
          <w:p w14:paraId="6D8E733B">
            <w:pPr>
              <w:pStyle w:val="24"/>
            </w:pPr>
            <w:r>
              <w:t>CH₃SH</w:t>
            </w:r>
          </w:p>
        </w:tc>
        <w:tc>
          <w:p w14:paraId="255A7B6D">
            <w:pPr>
              <w:pStyle w:val="24"/>
            </w:pPr>
            <w:r>
              <w:t>5.95</w:t>
            </w:r>
          </w:p>
        </w:tc>
        <w:tc>
          <w:p w14:paraId="1346D51F">
            <w:pPr>
              <w:pStyle w:val="24"/>
            </w:pPr>
            <w:r>
              <w:t>0.0013</w:t>
            </w:r>
          </w:p>
        </w:tc>
        <w:tc>
          <w:p w14:paraId="28A08032">
            <w:pPr>
              <w:pStyle w:val="24"/>
            </w:pPr>
            <w:r>
              <w:t>C₁–C₂</w:t>
            </w:r>
          </w:p>
        </w:tc>
        <w:tc>
          <w:p w14:paraId="4D679E95">
            <w:pPr>
              <w:pStyle w:val="24"/>
            </w:pPr>
            <w:r>
              <w:rPr>
                <w:rFonts w:hint="eastAsia"/>
              </w:rPr>
              <w:t>易</w:t>
            </w:r>
          </w:p>
        </w:tc>
      </w:tr>
      <w:tr w14:paraId="4FD20DF6">
        <w:tblPrEx>
          <w:tblCellMar>
            <w:top w:w="0" w:type="dxa"/>
            <w:left w:w="108" w:type="dxa"/>
            <w:bottom w:w="0" w:type="dxa"/>
            <w:right w:w="108" w:type="dxa"/>
          </w:tblCellMar>
        </w:tblPrEx>
        <w:tc>
          <w:p w14:paraId="7FA169B0">
            <w:pPr>
              <w:pStyle w:val="24"/>
            </w:pPr>
            <w:r>
              <w:rPr>
                <w:rFonts w:hint="eastAsia"/>
              </w:rPr>
              <w:t>乙硫醇</w:t>
            </w:r>
          </w:p>
        </w:tc>
        <w:tc>
          <w:p w14:paraId="617873D6">
            <w:pPr>
              <w:pStyle w:val="24"/>
            </w:pPr>
            <w:r>
              <w:t>C₂H₅SH</w:t>
            </w:r>
          </w:p>
        </w:tc>
        <w:tc>
          <w:p w14:paraId="0137C429">
            <w:pPr>
              <w:pStyle w:val="24"/>
            </w:pPr>
            <w:r>
              <w:t>35.0</w:t>
            </w:r>
          </w:p>
        </w:tc>
        <w:tc>
          <w:p w14:paraId="532BC479">
            <w:pPr>
              <w:pStyle w:val="24"/>
            </w:pPr>
            <w:r>
              <w:t>0.0004</w:t>
            </w:r>
          </w:p>
        </w:tc>
        <w:tc>
          <w:p w14:paraId="421B6F32">
            <w:pPr>
              <w:pStyle w:val="24"/>
            </w:pPr>
            <w:r>
              <w:t>C₂–C₃</w:t>
            </w:r>
          </w:p>
        </w:tc>
        <w:tc>
          <w:p w14:paraId="73BF4B15">
            <w:pPr>
              <w:pStyle w:val="24"/>
            </w:pPr>
            <w:r>
              <w:rPr>
                <w:rFonts w:hint="eastAsia"/>
              </w:rPr>
              <w:t>易</w:t>
            </w:r>
          </w:p>
        </w:tc>
      </w:tr>
      <w:tr w14:paraId="4516E90F">
        <w:tblPrEx>
          <w:tblCellMar>
            <w:top w:w="0" w:type="dxa"/>
            <w:left w:w="108" w:type="dxa"/>
            <w:bottom w:w="0" w:type="dxa"/>
            <w:right w:w="108" w:type="dxa"/>
          </w:tblCellMar>
        </w:tblPrEx>
        <w:tc>
          <w:p w14:paraId="63FF6F2D">
            <w:pPr>
              <w:pStyle w:val="24"/>
            </w:pPr>
            <w:r>
              <w:rPr>
                <w:rFonts w:hint="eastAsia"/>
              </w:rPr>
              <w:t>二甲硫</w:t>
            </w:r>
          </w:p>
        </w:tc>
        <w:tc>
          <w:p w14:paraId="530C3300">
            <w:pPr>
              <w:pStyle w:val="24"/>
            </w:pPr>
            <w:r>
              <w:t>(CH₃)₂S</w:t>
            </w:r>
          </w:p>
        </w:tc>
        <w:tc>
          <w:p w14:paraId="19A27FA8">
            <w:pPr>
              <w:pStyle w:val="24"/>
            </w:pPr>
            <w:r>
              <w:t>37</w:t>
            </w:r>
          </w:p>
        </w:tc>
        <w:tc>
          <w:p w14:paraId="2FE9F2B9">
            <w:pPr>
              <w:pStyle w:val="24"/>
            </w:pPr>
            <w:r>
              <w:t>0.01</w:t>
            </w:r>
          </w:p>
        </w:tc>
        <w:tc>
          <w:p w14:paraId="3817EA90">
            <w:pPr>
              <w:pStyle w:val="24"/>
            </w:pPr>
            <w:r>
              <w:t>C₂</w:t>
            </w:r>
          </w:p>
        </w:tc>
        <w:tc>
          <w:p w14:paraId="24C1FA90">
            <w:pPr>
              <w:pStyle w:val="24"/>
            </w:pPr>
            <w:r>
              <w:rPr>
                <w:rFonts w:hint="eastAsia"/>
              </w:rPr>
              <w:t>易</w:t>
            </w:r>
          </w:p>
        </w:tc>
      </w:tr>
      <w:tr w14:paraId="5C188D0B">
        <w:tblPrEx>
          <w:tblCellMar>
            <w:top w:w="0" w:type="dxa"/>
            <w:left w:w="108" w:type="dxa"/>
            <w:bottom w:w="0" w:type="dxa"/>
            <w:right w:w="108" w:type="dxa"/>
          </w:tblCellMar>
        </w:tblPrEx>
        <w:tc>
          <w:p w14:paraId="70B017F7">
            <w:pPr>
              <w:pStyle w:val="24"/>
            </w:pPr>
            <w:r>
              <w:rPr>
                <w:rFonts w:hint="eastAsia"/>
              </w:rPr>
              <w:t>二甲基二硫</w:t>
            </w:r>
          </w:p>
        </w:tc>
        <w:tc>
          <w:p w14:paraId="73B9A97A">
            <w:pPr>
              <w:pStyle w:val="24"/>
            </w:pPr>
            <w:r>
              <w:t>CH₃SSCH₃</w:t>
            </w:r>
          </w:p>
        </w:tc>
        <w:tc>
          <w:p w14:paraId="05CCF47E">
            <w:pPr>
              <w:pStyle w:val="24"/>
            </w:pPr>
            <w:r>
              <w:t>109</w:t>
            </w:r>
          </w:p>
        </w:tc>
        <w:tc>
          <w:p w14:paraId="6A171895">
            <w:pPr>
              <w:pStyle w:val="24"/>
            </w:pPr>
            <w:r>
              <w:t>0.003</w:t>
            </w:r>
          </w:p>
        </w:tc>
        <w:tc>
          <w:p w14:paraId="5818CFEC">
            <w:pPr>
              <w:pStyle w:val="24"/>
            </w:pPr>
            <w:r>
              <w:t>C₃</w:t>
            </w:r>
          </w:p>
        </w:tc>
        <w:tc>
          <w:p w14:paraId="0250C63B">
            <w:pPr>
              <w:pStyle w:val="24"/>
            </w:pPr>
            <w:r>
              <w:rPr>
                <w:rFonts w:hint="eastAsia"/>
              </w:rPr>
              <w:t>中</w:t>
            </w:r>
          </w:p>
        </w:tc>
      </w:tr>
      <w:tr w14:paraId="44A771BF">
        <w:tblPrEx>
          <w:tblCellMar>
            <w:top w:w="0" w:type="dxa"/>
            <w:left w:w="108" w:type="dxa"/>
            <w:bottom w:w="0" w:type="dxa"/>
            <w:right w:w="108" w:type="dxa"/>
          </w:tblCellMar>
        </w:tblPrEx>
        <w:tc>
          <w:p w14:paraId="5D0A4F04">
            <w:pPr>
              <w:pStyle w:val="24"/>
            </w:pPr>
            <w:r>
              <w:rPr>
                <w:rFonts w:hint="eastAsia"/>
              </w:rPr>
              <w:t>噻吩</w:t>
            </w:r>
          </w:p>
        </w:tc>
        <w:tc>
          <w:p w14:paraId="5D096DD6">
            <w:pPr>
              <w:pStyle w:val="24"/>
            </w:pPr>
            <w:r>
              <w:t>C₄H₄S</w:t>
            </w:r>
          </w:p>
        </w:tc>
        <w:tc>
          <w:p w14:paraId="6AEAF868">
            <w:pPr>
              <w:pStyle w:val="24"/>
            </w:pPr>
            <w:r>
              <w:t>84</w:t>
            </w:r>
          </w:p>
        </w:tc>
        <w:tc>
          <w:p w14:paraId="581374C3">
            <w:pPr>
              <w:pStyle w:val="24"/>
            </w:pPr>
            <w:r>
              <w:t>10–50</w:t>
            </w:r>
          </w:p>
        </w:tc>
        <w:tc>
          <w:p w14:paraId="4C0E5D89">
            <w:pPr>
              <w:pStyle w:val="24"/>
            </w:pPr>
            <w:r>
              <w:t>C₂–C₄</w:t>
            </w:r>
          </w:p>
        </w:tc>
        <w:tc>
          <w:p w14:paraId="46B6D407">
            <w:pPr>
              <w:pStyle w:val="24"/>
            </w:pPr>
            <w:r>
              <w:rPr>
                <w:rFonts w:hint="eastAsia"/>
              </w:rPr>
              <w:t>难</w:t>
            </w:r>
          </w:p>
        </w:tc>
      </w:tr>
      <w:tr w14:paraId="1906F181">
        <w:tblPrEx>
          <w:tblCellMar>
            <w:top w:w="0" w:type="dxa"/>
            <w:left w:w="108" w:type="dxa"/>
            <w:bottom w:w="0" w:type="dxa"/>
            <w:right w:w="108" w:type="dxa"/>
          </w:tblCellMar>
        </w:tblPrEx>
        <w:tc>
          <w:p w14:paraId="1B9B5415">
            <w:pPr>
              <w:pStyle w:val="24"/>
            </w:pPr>
            <w:r>
              <w:rPr>
                <w:rFonts w:hint="eastAsia"/>
              </w:rPr>
              <w:t>苯并噻吩</w:t>
            </w:r>
          </w:p>
        </w:tc>
        <w:tc>
          <w:p w14:paraId="57682C50">
            <w:pPr>
              <w:pStyle w:val="24"/>
            </w:pPr>
            <w:r>
              <w:t>C₈H₆S</w:t>
            </w:r>
          </w:p>
        </w:tc>
        <w:tc>
          <w:p w14:paraId="4B470659">
            <w:pPr>
              <w:pStyle w:val="24"/>
            </w:pPr>
            <w:r>
              <w:t>220</w:t>
            </w:r>
          </w:p>
        </w:tc>
        <w:tc>
          <w:p w14:paraId="4E87820D">
            <w:pPr>
              <w:pStyle w:val="24"/>
            </w:pPr>
            <w:r>
              <w:rPr>
                <w:rFonts w:hint="eastAsia"/>
              </w:rPr>
              <w:t>极低</w:t>
            </w:r>
          </w:p>
        </w:tc>
        <w:tc>
          <w:p w14:paraId="1A595EF5">
            <w:pPr>
              <w:pStyle w:val="24"/>
            </w:pPr>
            <w:r>
              <w:t>C₄+</w:t>
            </w:r>
          </w:p>
        </w:tc>
        <w:tc>
          <w:p w14:paraId="484779AB">
            <w:pPr>
              <w:pStyle w:val="24"/>
            </w:pPr>
            <w:r>
              <w:rPr>
                <w:rFonts w:hint="eastAsia"/>
              </w:rPr>
              <w:t>较难</w:t>
            </w:r>
          </w:p>
        </w:tc>
      </w:tr>
      <w:tr w14:paraId="263FE6AB">
        <w:tblPrEx>
          <w:tblCellMar>
            <w:top w:w="0" w:type="dxa"/>
            <w:left w:w="108" w:type="dxa"/>
            <w:bottom w:w="0" w:type="dxa"/>
            <w:right w:w="108" w:type="dxa"/>
          </w:tblCellMar>
        </w:tblPrEx>
        <w:tc>
          <w:p w14:paraId="3F8B9A89">
            <w:pPr>
              <w:pStyle w:val="24"/>
            </w:pPr>
            <w:r>
              <w:rPr>
                <w:rFonts w:hint="eastAsia"/>
              </w:rPr>
              <w:t>二苯并噻吩</w:t>
            </w:r>
          </w:p>
        </w:tc>
        <w:tc>
          <w:p w14:paraId="1BBADDD1">
            <w:pPr>
              <w:pStyle w:val="24"/>
            </w:pPr>
            <w:r>
              <w:t>C₁₂H₈S</w:t>
            </w:r>
          </w:p>
        </w:tc>
        <w:tc>
          <w:p w14:paraId="35B8B885">
            <w:pPr>
              <w:pStyle w:val="24"/>
            </w:pPr>
            <w:r>
              <w:t>304</w:t>
            </w:r>
          </w:p>
        </w:tc>
        <w:tc>
          <w:p w14:paraId="2F9F937A">
            <w:pPr>
              <w:pStyle w:val="24"/>
            </w:pPr>
            <w:r>
              <w:rPr>
                <w:rFonts w:hint="eastAsia"/>
              </w:rPr>
              <w:t>极低</w:t>
            </w:r>
          </w:p>
        </w:tc>
        <w:tc>
          <w:p w14:paraId="2452EDAE">
            <w:pPr>
              <w:pStyle w:val="24"/>
            </w:pPr>
            <w:r>
              <w:t>C₄+</w:t>
            </w:r>
          </w:p>
        </w:tc>
        <w:tc>
          <w:p w14:paraId="780FEF0F">
            <w:pPr>
              <w:pStyle w:val="24"/>
            </w:pPr>
            <w:r>
              <w:rPr>
                <w:rFonts w:hint="eastAsia"/>
              </w:rPr>
              <w:t>极难</w:t>
            </w:r>
          </w:p>
        </w:tc>
      </w:tr>
      <w:bookmarkEnd w:id="3"/>
    </w:tbl>
    <w:p w14:paraId="7F5FA352">
      <w:pPr>
        <w:pStyle w:val="5"/>
      </w:pPr>
      <w:bookmarkStart w:id="4" w:name="氮化物赋存形态及其共存现状"/>
      <w:r>
        <w:t xml:space="preserve">1.2 </w:t>
      </w:r>
      <w:r>
        <w:rPr>
          <w:rFonts w:hint="eastAsia"/>
        </w:rPr>
        <w:t>氮化物赋存形态及其共存现状</w:t>
      </w:r>
    </w:p>
    <w:p w14:paraId="15F673C1">
      <w:pPr>
        <w:pStyle w:val="23"/>
      </w:pPr>
      <w:r>
        <w:rPr>
          <w:rFonts w:hint="eastAsia"/>
        </w:rPr>
        <w:t>与硫化物类似，煤制气副产轻烃中的氮化物也呈现复杂的结构多样性，按碱性强弱可分为碱性氮化物和非碱性氮化物两大类。</w:t>
      </w:r>
    </w:p>
    <w:p w14:paraId="72C54939">
      <w:pPr>
        <w:pStyle w:val="3"/>
      </w:pPr>
      <w:r>
        <w:rPr>
          <w:rFonts w:hint="eastAsia"/>
          <w:b/>
          <w:bCs/>
        </w:rPr>
        <w:t>碱性氮化物</w:t>
      </w:r>
      <w:r>
        <w:t xml:space="preserve"> </w:t>
      </w:r>
      <w:r>
        <w:rPr>
          <w:rFonts w:hint="eastAsia"/>
        </w:rPr>
        <w:t>主要包括吡啶（Pyridine,</w:t>
      </w:r>
      <w:r>
        <w:t xml:space="preserve"> C₅H₅N, bp 115 </w:t>
      </w:r>
      <w:r>
        <w:rPr>
          <w:rFonts w:hint="eastAsia"/>
        </w:rPr>
        <w:t>°C）、喹啉（Quinoline,</w:t>
      </w:r>
      <w:r>
        <w:t xml:space="preserve"> C₉H₇N, bp 237 </w:t>
      </w:r>
      <w:r>
        <w:rPr>
          <w:rFonts w:hint="eastAsia"/>
        </w:rPr>
        <w:t>°C）及其烷基取代衍生物。吡啶类化合物的氮原子上具有孤对电子，pKb</w:t>
      </w:r>
      <w:r>
        <w:t xml:space="preserve"> </w:t>
      </w:r>
      <w:r>
        <w:rPr>
          <w:rFonts w:hint="eastAsia"/>
        </w:rPr>
        <w:t>值约为</w:t>
      </w:r>
      <w:r>
        <w:t xml:space="preserve"> </w:t>
      </w:r>
      <w:r>
        <w:rPr>
          <w:rFonts w:hint="eastAsia"/>
        </w:rPr>
        <w:t>8.8（吡啶），表现出中等强度的碱性。这种碱性特征使其在负载型催化剂的酸性活性位点上发生强化学吸附，是导致催化剂酸性位中毒的主要元凶。喹啉及其衍生物由于分子体积更大、共轭程度更高，在轻烃中的分配倾向于重馏分（C₄+），但其碱性毒化能力同样显著。</w:t>
      </w:r>
    </w:p>
    <w:p w14:paraId="34EB2785">
      <w:pPr>
        <w:pStyle w:val="3"/>
      </w:pPr>
      <w:r>
        <w:rPr>
          <w:rFonts w:hint="eastAsia"/>
          <w:b/>
          <w:bCs/>
        </w:rPr>
        <w:t>非碱性氮化物</w:t>
      </w:r>
      <w:r>
        <w:t xml:space="preserve"> </w:t>
      </w:r>
      <w:r>
        <w:rPr>
          <w:rFonts w:hint="eastAsia"/>
        </w:rPr>
        <w:t>主要包括吡咯（Pyrrole,</w:t>
      </w:r>
      <w:r>
        <w:t xml:space="preserve"> C₄H₅N, bp 130 </w:t>
      </w:r>
      <w:r>
        <w:rPr>
          <w:rFonts w:hint="eastAsia"/>
        </w:rPr>
        <w:t>°C）、吲哚（Indole,</w:t>
      </w:r>
      <w:r>
        <w:t xml:space="preserve"> C₈H₇N, bp 254 </w:t>
      </w:r>
      <w:r>
        <w:rPr>
          <w:rFonts w:hint="eastAsia"/>
        </w:rPr>
        <w:t>°C）及其烷基衍生物。吡咯类化合物中氮原子的孤对电子参与了五元环的</w:t>
      </w:r>
      <w:r>
        <w:t xml:space="preserve"> π </w:t>
      </w:r>
      <w:r>
        <w:rPr>
          <w:rFonts w:hint="eastAsia"/>
        </w:rPr>
        <w:t>共轭体系，导致其碱性极弱（pKb</w:t>
      </w:r>
      <w:r>
        <w:t xml:space="preserve"> ≈ </w:t>
      </w:r>
      <w:r>
        <w:rPr>
          <w:rFonts w:hint="eastAsia"/>
        </w:rPr>
        <w:t>13.6），在催化剂表面主要通过</w:t>
      </w:r>
      <w:r>
        <w:t xml:space="preserve"> π–π </w:t>
      </w:r>
      <w:r>
        <w:rPr>
          <w:rFonts w:hint="eastAsia"/>
        </w:rPr>
        <w:t>相互作用或与活性金属中心的</w:t>
      </w:r>
      <w:r>
        <w:t xml:space="preserve"> d </w:t>
      </w:r>
      <w:r>
        <w:rPr>
          <w:rFonts w:hint="eastAsia"/>
        </w:rPr>
        <w:t>轨道配位发生吸附。虽然非碱性氮化物的毒化能力弱于碱性氮化物，但在真实轻烃体系中，其与碱性氮化物共存时的协同效应不容忽视。</w:t>
      </w:r>
    </w:p>
    <w:p w14:paraId="57F51EDE">
      <w:pPr>
        <w:pStyle w:val="3"/>
      </w:pPr>
      <w:r>
        <w:rPr>
          <w:rFonts w:hint="eastAsia"/>
        </w:rPr>
        <w:t>煤制气副产轻烃中氮化物的形成机制与煤气化过程中煤大分子骨架中吡啶型和吡咯型氮的热解脱除密切相关。研究表明，在</w:t>
      </w:r>
      <w:r>
        <w:t xml:space="preserve"> 800–1200 °C </w:t>
      </w:r>
      <w:r>
        <w:rPr>
          <w:rFonts w:hint="eastAsia"/>
        </w:rPr>
        <w:t>的气化温度区间内，煤中约</w:t>
      </w:r>
      <w:r>
        <w:t xml:space="preserve"> 60%–80% </w:t>
      </w:r>
      <w:r>
        <w:rPr>
          <w:rFonts w:hint="eastAsia"/>
        </w:rPr>
        <w:t>的有机氮转化为</w:t>
      </w:r>
      <w:r>
        <w:t xml:space="preserve"> NH₃ </w:t>
      </w:r>
      <w:r>
        <w:rPr>
          <w:rFonts w:hint="eastAsia"/>
        </w:rPr>
        <w:t>和</w:t>
      </w:r>
      <w:r>
        <w:t xml:space="preserve"> HCN </w:t>
      </w:r>
      <w:r>
        <w:rPr>
          <w:rFonts w:hint="eastAsia"/>
        </w:rPr>
        <w:t>等气态产物，其余部分则以杂环氮化物形式进入液态和固态产物。对于副产轻烃而言，部分吡啶和吲哚前驱体在合成气催化转化的中低温段（200–400</w:t>
      </w:r>
      <w:r>
        <w:t xml:space="preserve"> </w:t>
      </w:r>
      <w:r>
        <w:rPr>
          <w:rFonts w:hint="eastAsia"/>
        </w:rPr>
        <w:t>°C）通过</w:t>
      </w:r>
      <w:r>
        <w:t xml:space="preserve"> Diels-Alder </w:t>
      </w:r>
      <w:r>
        <w:rPr>
          <w:rFonts w:hint="eastAsia"/>
        </w:rPr>
        <w:t>型环化和脱氢反应生成，最终随轻烃冷凝而被夹带。</w:t>
      </w:r>
    </w:p>
    <w:p w14:paraId="7BCEE646">
      <w:pPr>
        <w:pStyle w:val="3"/>
      </w:pPr>
      <w:r>
        <w:rPr>
          <w:rFonts w:hint="eastAsia"/>
        </w:rPr>
        <w:t>表</w:t>
      </w:r>
      <w:r>
        <w:t xml:space="preserve"> 2 </w:t>
      </w:r>
      <w:r>
        <w:rPr>
          <w:rFonts w:hint="eastAsia"/>
        </w:rPr>
        <w:t>总结了煤制气副产轻烃中主要氮化物的理化性质。</w:t>
      </w:r>
    </w:p>
    <w:p w14:paraId="208E7661">
      <w:pPr>
        <w:pStyle w:val="3"/>
      </w:pPr>
      <w:r>
        <w:rPr>
          <w:rFonts w:hint="eastAsia"/>
          <w:b/>
          <w:bCs/>
        </w:rPr>
        <w:t>表</w:t>
      </w:r>
      <w:r>
        <w:rPr>
          <w:b/>
          <w:bCs/>
        </w:rPr>
        <w:t xml:space="preserve"> 2 </w:t>
      </w:r>
      <w:r>
        <w:rPr>
          <w:rFonts w:hint="eastAsia"/>
          <w:b/>
          <w:bCs/>
        </w:rPr>
        <w:t>煤制气副产轻烃中主要氮化物的理化性质</w:t>
      </w:r>
    </w:p>
    <w:tbl>
      <w:tblPr>
        <w:tblStyle w:val="41"/>
        <w:tblW w:w="5000" w:type="pct"/>
        <w:tblInd w:w="0" w:type="dxa"/>
        <w:tblLayout w:type="fixed"/>
        <w:tblCellMar>
          <w:top w:w="0" w:type="dxa"/>
          <w:left w:w="108" w:type="dxa"/>
          <w:bottom w:w="0" w:type="dxa"/>
          <w:right w:w="108" w:type="dxa"/>
        </w:tblCellMar>
      </w:tblPr>
      <w:tblGrid>
        <w:gridCol w:w="1572"/>
        <w:gridCol w:w="1285"/>
        <w:gridCol w:w="1142"/>
        <w:gridCol w:w="1285"/>
        <w:gridCol w:w="714"/>
        <w:gridCol w:w="1572"/>
        <w:gridCol w:w="1285"/>
      </w:tblGrid>
      <w:tr w14:paraId="1ED741B6">
        <w:tblPrEx>
          <w:tblCellMar>
            <w:top w:w="0" w:type="dxa"/>
            <w:left w:w="108" w:type="dxa"/>
            <w:bottom w:w="0" w:type="dxa"/>
            <w:right w:w="108" w:type="dxa"/>
          </w:tblCellMar>
        </w:tblPrEx>
        <w:trPr>
          <w:tblHeader/>
        </w:trPr>
        <w:tc>
          <w:p w14:paraId="7441425D">
            <w:pPr>
              <w:pStyle w:val="24"/>
            </w:pPr>
            <w:r>
              <w:rPr>
                <w:rFonts w:hint="eastAsia"/>
              </w:rPr>
              <w:t>氮化物名称</w:t>
            </w:r>
          </w:p>
        </w:tc>
        <w:tc>
          <w:p w14:paraId="287F29B4">
            <w:pPr>
              <w:pStyle w:val="24"/>
            </w:pPr>
            <w:r>
              <w:rPr>
                <w:rFonts w:hint="eastAsia"/>
              </w:rPr>
              <w:t>结构类型</w:t>
            </w:r>
          </w:p>
        </w:tc>
        <w:tc>
          <w:p w14:paraId="1BEBD08D">
            <w:pPr>
              <w:pStyle w:val="24"/>
            </w:pPr>
            <w:r>
              <w:rPr>
                <w:rFonts w:hint="eastAsia"/>
              </w:rPr>
              <w:t>化学式</w:t>
            </w:r>
          </w:p>
        </w:tc>
        <w:tc>
          <w:p w14:paraId="0E9CEAAF">
            <w:pPr>
              <w:pStyle w:val="24"/>
            </w:pPr>
            <w:r>
              <w:rPr>
                <w:rFonts w:hint="eastAsia"/>
              </w:rPr>
              <w:t>沸点/°C</w:t>
            </w:r>
          </w:p>
        </w:tc>
        <w:tc>
          <w:p w14:paraId="20474DDE">
            <w:pPr>
              <w:pStyle w:val="24"/>
            </w:pPr>
            <w:r>
              <w:t>pKb</w:t>
            </w:r>
          </w:p>
        </w:tc>
        <w:tc>
          <w:p w14:paraId="5A257A36">
            <w:pPr>
              <w:pStyle w:val="24"/>
            </w:pPr>
            <w:r>
              <w:t xml:space="preserve">C </w:t>
            </w:r>
            <w:r>
              <w:rPr>
                <w:rFonts w:hint="eastAsia"/>
              </w:rPr>
              <w:t>分布倾向</w:t>
            </w:r>
          </w:p>
        </w:tc>
        <w:tc>
          <w:p w14:paraId="778F2766">
            <w:pPr>
              <w:pStyle w:val="24"/>
            </w:pPr>
            <w:r>
              <w:rPr>
                <w:rFonts w:hint="eastAsia"/>
              </w:rPr>
              <w:t>毒化能力</w:t>
            </w:r>
          </w:p>
        </w:tc>
      </w:tr>
      <w:tr w14:paraId="4429282E">
        <w:tblPrEx>
          <w:tblCellMar>
            <w:top w:w="0" w:type="dxa"/>
            <w:left w:w="108" w:type="dxa"/>
            <w:bottom w:w="0" w:type="dxa"/>
            <w:right w:w="108" w:type="dxa"/>
          </w:tblCellMar>
        </w:tblPrEx>
        <w:tc>
          <w:p w14:paraId="7C2D2A0C">
            <w:pPr>
              <w:pStyle w:val="24"/>
            </w:pPr>
            <w:r>
              <w:rPr>
                <w:rFonts w:hint="eastAsia"/>
              </w:rPr>
              <w:t>吡啶</w:t>
            </w:r>
          </w:p>
        </w:tc>
        <w:tc>
          <w:p w14:paraId="0655C099">
            <w:pPr>
              <w:pStyle w:val="24"/>
            </w:pPr>
            <w:r>
              <w:rPr>
                <w:rFonts w:hint="eastAsia"/>
              </w:rPr>
              <w:t>碱性六元环</w:t>
            </w:r>
          </w:p>
        </w:tc>
        <w:tc>
          <w:p w14:paraId="02751B39">
            <w:pPr>
              <w:pStyle w:val="24"/>
            </w:pPr>
            <w:r>
              <w:t>C₅H₅N</w:t>
            </w:r>
          </w:p>
        </w:tc>
        <w:tc>
          <w:p w14:paraId="74ED5A34">
            <w:pPr>
              <w:pStyle w:val="24"/>
            </w:pPr>
            <w:r>
              <w:t>115</w:t>
            </w:r>
          </w:p>
        </w:tc>
        <w:tc>
          <w:p w14:paraId="22937736">
            <w:pPr>
              <w:pStyle w:val="24"/>
            </w:pPr>
            <w:r>
              <w:t>8.8</w:t>
            </w:r>
          </w:p>
        </w:tc>
        <w:tc>
          <w:p w14:paraId="232F6484">
            <w:pPr>
              <w:pStyle w:val="24"/>
            </w:pPr>
            <w:r>
              <w:t>C₃–C₄</w:t>
            </w:r>
          </w:p>
        </w:tc>
        <w:tc>
          <w:p w14:paraId="07CD4CAB">
            <w:pPr>
              <w:pStyle w:val="24"/>
            </w:pPr>
            <w:r>
              <w:rPr>
                <w:rFonts w:hint="eastAsia"/>
              </w:rPr>
              <w:t>强</w:t>
            </w:r>
          </w:p>
        </w:tc>
      </w:tr>
      <w:tr w14:paraId="46B9AF22">
        <w:tblPrEx>
          <w:tblCellMar>
            <w:top w:w="0" w:type="dxa"/>
            <w:left w:w="108" w:type="dxa"/>
            <w:bottom w:w="0" w:type="dxa"/>
            <w:right w:w="108" w:type="dxa"/>
          </w:tblCellMar>
        </w:tblPrEx>
        <w:tc>
          <w:p w14:paraId="25FE18A4">
            <w:pPr>
              <w:pStyle w:val="24"/>
            </w:pPr>
            <w:r>
              <w:rPr>
                <w:rFonts w:hint="eastAsia"/>
              </w:rPr>
              <w:t>喹啉</w:t>
            </w:r>
          </w:p>
        </w:tc>
        <w:tc>
          <w:p w14:paraId="2B0D9A9E">
            <w:pPr>
              <w:pStyle w:val="24"/>
            </w:pPr>
            <w:r>
              <w:rPr>
                <w:rFonts w:hint="eastAsia"/>
              </w:rPr>
              <w:t>碱性稠环</w:t>
            </w:r>
          </w:p>
        </w:tc>
        <w:tc>
          <w:p w14:paraId="4A3C940D">
            <w:pPr>
              <w:pStyle w:val="24"/>
            </w:pPr>
            <w:r>
              <w:t>C₉H₇N</w:t>
            </w:r>
          </w:p>
        </w:tc>
        <w:tc>
          <w:p w14:paraId="4F1799DA">
            <w:pPr>
              <w:pStyle w:val="24"/>
            </w:pPr>
            <w:r>
              <w:t>237</w:t>
            </w:r>
          </w:p>
        </w:tc>
        <w:tc>
          <w:p w14:paraId="2D5F00E7">
            <w:pPr>
              <w:pStyle w:val="24"/>
            </w:pPr>
            <w:r>
              <w:t>9.0</w:t>
            </w:r>
          </w:p>
        </w:tc>
        <w:tc>
          <w:p w14:paraId="7AF77798">
            <w:pPr>
              <w:pStyle w:val="24"/>
            </w:pPr>
            <w:r>
              <w:t>C₄+</w:t>
            </w:r>
          </w:p>
        </w:tc>
        <w:tc>
          <w:p w14:paraId="17566672">
            <w:pPr>
              <w:pStyle w:val="24"/>
            </w:pPr>
            <w:r>
              <w:rPr>
                <w:rFonts w:hint="eastAsia"/>
              </w:rPr>
              <w:t>极强</w:t>
            </w:r>
          </w:p>
        </w:tc>
      </w:tr>
      <w:tr w14:paraId="4651AC97">
        <w:tblPrEx>
          <w:tblCellMar>
            <w:top w:w="0" w:type="dxa"/>
            <w:left w:w="108" w:type="dxa"/>
            <w:bottom w:w="0" w:type="dxa"/>
            <w:right w:w="108" w:type="dxa"/>
          </w:tblCellMar>
        </w:tblPrEx>
        <w:tc>
          <w:p w14:paraId="429F039E">
            <w:pPr>
              <w:pStyle w:val="24"/>
            </w:pPr>
            <w:r>
              <w:rPr>
                <w:rFonts w:hint="eastAsia"/>
              </w:rPr>
              <w:t>吡咯</w:t>
            </w:r>
          </w:p>
        </w:tc>
        <w:tc>
          <w:p w14:paraId="0EC8E570">
            <w:pPr>
              <w:pStyle w:val="24"/>
            </w:pPr>
            <w:r>
              <w:rPr>
                <w:rFonts w:hint="eastAsia"/>
              </w:rPr>
              <w:t>非碱性五元环</w:t>
            </w:r>
          </w:p>
        </w:tc>
        <w:tc>
          <w:p w14:paraId="297850A4">
            <w:pPr>
              <w:pStyle w:val="24"/>
            </w:pPr>
            <w:r>
              <w:t>C₄H₅N</w:t>
            </w:r>
          </w:p>
        </w:tc>
        <w:tc>
          <w:p w14:paraId="3354F0D8">
            <w:pPr>
              <w:pStyle w:val="24"/>
            </w:pPr>
            <w:r>
              <w:t>130</w:t>
            </w:r>
          </w:p>
        </w:tc>
        <w:tc>
          <w:p w14:paraId="0B49DBA2">
            <w:pPr>
              <w:pStyle w:val="24"/>
            </w:pPr>
            <w:r>
              <w:t>13.6</w:t>
            </w:r>
          </w:p>
        </w:tc>
        <w:tc>
          <w:p w14:paraId="25D6673F">
            <w:pPr>
              <w:pStyle w:val="24"/>
            </w:pPr>
            <w:r>
              <w:t>C₃–C₄</w:t>
            </w:r>
          </w:p>
        </w:tc>
        <w:tc>
          <w:p w14:paraId="04C1499E">
            <w:pPr>
              <w:pStyle w:val="24"/>
            </w:pPr>
            <w:r>
              <w:rPr>
                <w:rFonts w:hint="eastAsia"/>
              </w:rPr>
              <w:t>弱</w:t>
            </w:r>
          </w:p>
        </w:tc>
      </w:tr>
      <w:tr w14:paraId="312ACDFA">
        <w:tblPrEx>
          <w:tblCellMar>
            <w:top w:w="0" w:type="dxa"/>
            <w:left w:w="108" w:type="dxa"/>
            <w:bottom w:w="0" w:type="dxa"/>
            <w:right w:w="108" w:type="dxa"/>
          </w:tblCellMar>
        </w:tblPrEx>
        <w:tc>
          <w:p w14:paraId="3EDD698E">
            <w:pPr>
              <w:pStyle w:val="24"/>
            </w:pPr>
            <w:r>
              <w:rPr>
                <w:rFonts w:hint="eastAsia"/>
              </w:rPr>
              <w:t>吲哚</w:t>
            </w:r>
          </w:p>
        </w:tc>
        <w:tc>
          <w:p w14:paraId="61A22286">
            <w:pPr>
              <w:pStyle w:val="24"/>
            </w:pPr>
            <w:r>
              <w:rPr>
                <w:rFonts w:hint="eastAsia"/>
              </w:rPr>
              <w:t>非碱性稠环</w:t>
            </w:r>
          </w:p>
        </w:tc>
        <w:tc>
          <w:p w14:paraId="1212F00E">
            <w:pPr>
              <w:pStyle w:val="24"/>
            </w:pPr>
            <w:r>
              <w:t>C₈H₇N</w:t>
            </w:r>
          </w:p>
        </w:tc>
        <w:tc>
          <w:p w14:paraId="4E994D90">
            <w:pPr>
              <w:pStyle w:val="24"/>
            </w:pPr>
            <w:r>
              <w:t>254</w:t>
            </w:r>
          </w:p>
        </w:tc>
        <w:tc>
          <w:p w14:paraId="1824184C">
            <w:pPr>
              <w:pStyle w:val="24"/>
            </w:pPr>
            <w:r>
              <w:t>13.6</w:t>
            </w:r>
          </w:p>
        </w:tc>
        <w:tc>
          <w:p w14:paraId="0B7D421A">
            <w:pPr>
              <w:pStyle w:val="24"/>
            </w:pPr>
            <w:r>
              <w:t>C₄+</w:t>
            </w:r>
          </w:p>
        </w:tc>
        <w:tc>
          <w:p w14:paraId="3F910045">
            <w:pPr>
              <w:pStyle w:val="24"/>
            </w:pPr>
            <w:r>
              <w:rPr>
                <w:rFonts w:hint="eastAsia"/>
              </w:rPr>
              <w:t>中等</w:t>
            </w:r>
          </w:p>
        </w:tc>
      </w:tr>
      <w:bookmarkEnd w:id="4"/>
    </w:tbl>
    <w:p w14:paraId="08E7A34A">
      <w:pPr>
        <w:pStyle w:val="5"/>
      </w:pPr>
      <w:bookmarkStart w:id="5" w:name="恶臭协同效应多组分异味重叠的化学本质"/>
      <w:r>
        <w:t xml:space="preserve">1.3 </w:t>
      </w:r>
      <w:r>
        <w:rPr>
          <w:rFonts w:hint="eastAsia"/>
        </w:rPr>
        <w:t>恶臭协同效应：多组分异味重叠的化学本质</w:t>
      </w:r>
    </w:p>
    <w:p w14:paraId="54FC89A9">
      <w:pPr>
        <w:pStyle w:val="23"/>
      </w:pPr>
      <w:r>
        <w:rPr>
          <w:rFonts w:hint="eastAsia"/>
        </w:rPr>
        <w:t>煤制气副产轻烃的恶臭并非单一组分的简单叠加，而是多种微量硫/氮化合物在极低浓度下产生的协同效应。这种协同效应的化学本质可以从以下几个层面加以理解。</w:t>
      </w:r>
    </w:p>
    <w:p w14:paraId="73E19787">
      <w:pPr>
        <w:pStyle w:val="3"/>
      </w:pPr>
      <w:r>
        <w:rPr>
          <w:rFonts w:hint="eastAsia"/>
          <w:b/>
          <w:bCs/>
        </w:rPr>
        <w:t>嗅觉阈值叠加效应。</w:t>
      </w:r>
      <w:r>
        <w:t xml:space="preserve"> </w:t>
      </w:r>
      <w:r>
        <w:rPr>
          <w:rFonts w:hint="eastAsia"/>
        </w:rPr>
        <w:t>当多种具有恶臭的化合物共存时，即使每种组分的浓度远低于其单一嗅觉阈值，混合体系仍可能表现出可感知的恶臭。这一现象可用费希纳定律（Fechner’s</w:t>
      </w:r>
      <w:r>
        <w:t xml:space="preserve"> </w:t>
      </w:r>
      <w:r>
        <w:rPr>
          <w:rFonts w:hint="eastAsia"/>
        </w:rPr>
        <w:t>Law）和斯特文森–韦伯定律（Stevens’</w:t>
      </w:r>
      <w:r>
        <w:t xml:space="preserve"> Power </w:t>
      </w:r>
      <w:r>
        <w:rPr>
          <w:rFonts w:hint="eastAsia"/>
        </w:rPr>
        <w:t>Law）描述。对于含硫混合体系，总的嗅味强度</w:t>
      </w:r>
      <w:r>
        <w:t xml:space="preserve"> </w:t>
      </w:r>
      <m:oMath>
        <m:sSub>
          <m:sSubPr/>
          <m:e>
            <m:r>
              <m:rPr/>
              <m:t>I</m:t>
            </m:r>
          </m:e>
          <m:sub>
            <m:r>
              <m:rPr/>
              <m:t>total</m:t>
            </m:r>
          </m:sub>
        </m:sSub>
      </m:oMath>
      <w:r>
        <w:t xml:space="preserve"> </w:t>
      </w:r>
      <w:r>
        <w:rPr>
          <w:rFonts w:hint="eastAsia"/>
        </w:rPr>
        <w:t>可近似表示为：</w:t>
      </w:r>
    </w:p>
    <w:p w14:paraId="0AAFAB0B">
      <w:pPr>
        <w:pStyle w:val="3"/>
      </w:pPr>
      <m:oMathPara>
        <m:oMathParaPr>
          <m:jc m:val="center"/>
        </m:oMathParaPr>
        <m:oMath>
          <m:sSub>
            <m:sSubPr/>
            <m:e>
              <m:r>
                <m:rPr/>
                <m:t>I</m:t>
              </m:r>
            </m:e>
            <m:sub>
              <m:r>
                <m:rPr/>
                <m:t>total</m:t>
              </m:r>
            </m:sub>
          </m:sSub>
          <m:r>
            <m:rPr>
              <m:sty m:val="p"/>
            </m:rPr>
            <m:t>=</m:t>
          </m:r>
          <m:sSup>
            <m:sSupPr/>
            <m:e>
              <m:d>
                <m:dPr>
                  <m:sepChr m:val=""/>
                </m:dPr>
                <m:e>
                  <m:nary>
                    <m:naryPr>
                      <m:chr m:val="∑"/>
                      <m:limLoc m:val="undOvr"/>
                    </m:naryPr>
                    <m:sub>
                      <m:r>
                        <m:rPr/>
                        <m:t>i</m:t>
                      </m:r>
                      <m:r>
                        <m:rPr>
                          <m:sty m:val="p"/>
                        </m:rPr>
                        <m:t>=</m:t>
                      </m:r>
                      <m:r>
                        <m:rPr/>
                        <m:t>1</m:t>
                      </m:r>
                    </m:sub>
                    <m:sup>
                      <m:r>
                        <m:rPr/>
                        <m:t>n</m:t>
                      </m:r>
                    </m:sup>
                    <m:e>
                      <m:sSub>
                        <m:sSubPr/>
                        <m:e>
                          <m:r>
                            <m:rPr/>
                            <m:t>k</m:t>
                          </m:r>
                        </m:e>
                        <m:sub>
                          <m:r>
                            <m:rPr/>
                            <m:t>i</m:t>
                          </m:r>
                        </m:sub>
                      </m:sSub>
                    </m:e>
                  </m:nary>
                  <m:r>
                    <m:rPr>
                      <m:sty m:val="p"/>
                    </m:rPr>
                    <m:t>⋅</m:t>
                  </m:r>
                  <m:sSubSup>
                    <m:sSubSupPr/>
                    <m:e>
                      <m:r>
                        <m:rPr/>
                        <m:t>C</m:t>
                      </m:r>
                    </m:e>
                    <m:sub>
                      <m:r>
                        <m:rPr/>
                        <m:t>i</m:t>
                      </m:r>
                    </m:sub>
                    <m:sup>
                      <m:r>
                        <m:rPr/>
                        <m:t>1</m:t>
                      </m:r>
                      <m:r>
                        <m:rPr>
                          <m:sty m:val="p"/>
                        </m:rPr>
                        <m:t>/</m:t>
                      </m:r>
                      <m:r>
                        <m:rPr/>
                        <m:t>3</m:t>
                      </m:r>
                    </m:sup>
                  </m:sSubSup>
                </m:e>
              </m:d>
            </m:e>
            <m:sup>
              <m:r>
                <m:rPr/>
                <m:t>3</m:t>
              </m:r>
            </m:sup>
          </m:sSup>
        </m:oMath>
      </m:oMathPara>
    </w:p>
    <w:p w14:paraId="6C69EA0A">
      <w:pPr>
        <w:pStyle w:val="23"/>
      </w:pPr>
      <w:r>
        <w:rPr>
          <w:rFonts w:hint="eastAsia"/>
        </w:rPr>
        <w:t>其中</w:t>
      </w:r>
      <w:r>
        <w:t xml:space="preserve"> </w:t>
      </w:r>
      <m:oMath>
        <m:sSub>
          <m:sSubPr/>
          <m:e>
            <m:r>
              <m:rPr/>
              <m:t>C</m:t>
            </m:r>
          </m:e>
          <m:sub>
            <m:r>
              <m:rPr/>
              <m:t>i</m:t>
            </m:r>
          </m:sub>
        </m:sSub>
      </m:oMath>
      <w:r>
        <w:t xml:space="preserve"> </w:t>
      </w:r>
      <w:r>
        <w:rPr>
          <w:rFonts w:hint="eastAsia"/>
        </w:rPr>
        <w:t>为第</w:t>
      </w:r>
      <w:r>
        <w:t xml:space="preserve"> </w:t>
      </w:r>
      <m:oMath>
        <m:r>
          <m:rPr/>
          <m:t>i</m:t>
        </m:r>
      </m:oMath>
      <w:r>
        <w:t xml:space="preserve"> </w:t>
      </w:r>
      <w:r>
        <w:rPr>
          <w:rFonts w:hint="eastAsia"/>
        </w:rPr>
        <w:t>种硫化物的浓度，</w:t>
      </w:r>
      <m:oMath>
        <m:sSub>
          <m:sSubPr/>
          <m:e>
            <m:r>
              <m:rPr/>
              <m:t>k</m:t>
            </m:r>
          </m:e>
          <m:sub>
            <m:r>
              <m:rPr/>
              <m:t>i</m:t>
            </m:r>
          </m:sub>
        </m:sSub>
      </m:oMath>
      <w:r>
        <w:t xml:space="preserve"> </w:t>
      </w:r>
      <w:r>
        <w:rPr>
          <w:rFonts w:hint="eastAsia"/>
        </w:rPr>
        <w:t>为其嗅觉敏感系数（与嗅觉阈值成反比）。该公式表明，低浓度下硫醇类组分（</w:t>
      </w:r>
      <m:oMath>
        <m:sSub>
          <m:sSubPr/>
          <m:e>
            <m:r>
              <m:rPr/>
              <m:t>k</m:t>
            </m:r>
          </m:e>
          <m:sub>
            <m:r>
              <m:rPr/>
              <m:t>i</m:t>
            </m:r>
          </m:sub>
        </m:sSub>
      </m:oMath>
      <w:r>
        <w:t xml:space="preserve"> </w:t>
      </w:r>
      <w:r>
        <w:rPr>
          <w:rFonts w:hint="eastAsia"/>
        </w:rPr>
        <w:t>极大）对总嗅味的贡献占主导地位，但当硫醇被基本脱除后，噻吩类和氮化物组分的相对贡献将显著上升。</w:t>
      </w:r>
    </w:p>
    <w:p w14:paraId="74D789E0">
      <w:pPr>
        <w:pStyle w:val="3"/>
      </w:pPr>
      <w:r>
        <w:rPr>
          <w:rFonts w:hint="eastAsia"/>
          <w:b/>
          <w:bCs/>
        </w:rPr>
        <w:t>化学交叉反应。</w:t>
      </w:r>
      <w:r>
        <w:t xml:space="preserve"> </w:t>
      </w:r>
      <w:r>
        <w:rPr>
          <w:rFonts w:hint="eastAsia"/>
        </w:rPr>
        <w:t>在轻烃储存和运输过程中，不同硫/氮组分之间可能发生缓慢的交叉反应，生成新的异味物质。例如，硫醇在微量金属离子（Fe³⁺、Cu²⁺）催化下可被空气中的氧气氧化为二硫化物：</w:t>
      </w:r>
    </w:p>
    <w:p w14:paraId="7FEB9604">
      <w:pPr>
        <w:pStyle w:val="3"/>
      </w:pPr>
      <m:oMathPara>
        <m:oMathParaPr>
          <m:jc m:val="center"/>
        </m:oMathParaPr>
        <m:oMath>
          <m:r>
            <m:rPr>
              <m:sty m:val="p"/>
            </m:rPr>
            <m:t>2RSH+</m:t>
          </m:r>
          <m:f>
            <m:fPr/>
            <m:num>
              <m:r>
                <m:rPr>
                  <m:sty m:val="p"/>
                </m:rPr>
                <m:t>1</m:t>
              </m:r>
            </m:num>
            <m:den>
              <m:r>
                <m:rPr>
                  <m:sty m:val="p"/>
                </m:rPr>
                <m:t>2</m:t>
              </m:r>
            </m:den>
          </m:f>
          <m:sSub>
            <m:sSubPr/>
            <m:e>
              <m:r>
                <m:rPr>
                  <m:sty m:val="p"/>
                </m:rPr>
                <m:t>O</m:t>
              </m:r>
            </m:e>
            <m:sub>
              <m:r>
                <m:rPr>
                  <m:sty m:val="p"/>
                </m:rPr>
                <m:t>2</m:t>
              </m:r>
            </m:sub>
          </m:sSub>
          <m:limUpp>
            <m:limUppPr/>
            <m:e>
              <m:r>
                <m:rPr>
                  <m:sty m:val="p"/>
                </m:rPr>
                <m:t>→</m:t>
              </m:r>
            </m:e>
            <m:lim>
              <m:sSup>
                <m:sSupPr/>
                <m:e>
                  <m:r>
                    <m:rPr>
                      <m:sty m:val="p"/>
                    </m:rPr>
                    <m:t>M</m:t>
                  </m:r>
                </m:e>
                <m:sup>
                  <m:r>
                    <m:rPr>
                      <m:sty m:val="p"/>
                    </m:rPr>
                    <m:t>n+</m:t>
                  </m:r>
                </m:sup>
              </m:sSup>
            </m:lim>
          </m:limUpp>
          <m:r>
            <m:rPr>
              <m:sty m:val="p"/>
            </m:rPr>
            <m:t>RS−SR+</m:t>
          </m:r>
          <m:sSub>
            <m:sSubPr/>
            <m:e>
              <m:r>
                <m:rPr>
                  <m:sty m:val="p"/>
                </m:rPr>
                <m:t>H</m:t>
              </m:r>
            </m:e>
            <m:sub>
              <m:r>
                <m:rPr>
                  <m:sty m:val="p"/>
                </m:rPr>
                <m:t>2</m:t>
              </m:r>
            </m:sub>
          </m:sSub>
          <m:r>
            <m:rPr>
              <m:sty m:val="p"/>
            </m:rPr>
            <m:t>O</m:t>
          </m:r>
        </m:oMath>
      </m:oMathPara>
    </w:p>
    <w:p w14:paraId="291C392C">
      <w:pPr>
        <w:pStyle w:val="23"/>
      </w:pPr>
      <w:r>
        <w:rPr>
          <w:rFonts w:hint="eastAsia"/>
        </w:rPr>
        <w:t>二硫化物的嗅觉阈值虽高于硫醇，但其热稳定性更好，在后续加工中可能再次裂解为更具恶臭的硫醇片段，形成”二次恶臭释放”效应。此外，吲哚等氮化物可与硫醇发生亲核取代反应生成硫醚类衍生物，进一步增加异味成分的复杂性。</w:t>
      </w:r>
    </w:p>
    <w:p w14:paraId="483FEA9D">
      <w:pPr>
        <w:pStyle w:val="3"/>
      </w:pPr>
      <w:r>
        <w:rPr>
          <w:rFonts w:hint="eastAsia"/>
          <w:b/>
          <w:bCs/>
        </w:rPr>
        <w:t>感官协同增强。</w:t>
      </w:r>
      <w:r>
        <w:t xml:space="preserve"> </w:t>
      </w:r>
      <w:r>
        <w:rPr>
          <w:rFonts w:hint="eastAsia"/>
        </w:rPr>
        <w:t>实验研究表明，硫醇与吡啶类化合物的混合体系在感官评价中表现出明显的协同增强效应——混合物的恶臭强度显著高于各组分恶臭强度的算术和。这种现象可能与不同气味受体在鼻腔中的交叉激活有关：硫醇主要激活</w:t>
      </w:r>
      <w:r>
        <w:t xml:space="preserve"> OR2T11 </w:t>
      </w:r>
      <w:r>
        <w:rPr>
          <w:rFonts w:hint="eastAsia"/>
        </w:rPr>
        <w:t>等特异性硫醇受体，而吡啶类则作用于</w:t>
      </w:r>
      <w:r>
        <w:t xml:space="preserve"> OR1A2 </w:t>
      </w:r>
      <w:r>
        <w:rPr>
          <w:rFonts w:hint="eastAsia"/>
        </w:rPr>
        <w:t>等胺类受体，两种受体信号在嗅觉皮层的整合过程中可能产生非线性放大效应。</w:t>
      </w:r>
    </w:p>
    <w:p w14:paraId="1BB90C5B">
      <w:pPr>
        <w:pStyle w:val="3"/>
        <w:rPr>
          <w:rFonts w:hint="eastAsia"/>
        </w:rPr>
      </w:pPr>
      <w:r>
        <w:rPr>
          <w:rFonts w:hint="eastAsia"/>
        </w:rPr>
        <w:t>综上可知，煤制气副产轻烃中恶臭微量硫/氮污染物的形态解析不能仅停留在单一组分的定性定量层面，而应从多组分共存体系的整体视角出发，综合考虑各组分的赋存分布、嗅觉贡献权重、交叉反应行为及感官协同效应。这为后续理解负载型催化剂在实际体系中的氧化行为提供了必要的组分认知基础。</w:t>
      </w:r>
    </w:p>
    <w:p w14:paraId="5B1EFE10">
      <w:pPr>
        <w:pStyle w:val="3"/>
        <w:rPr>
          <w:rFonts w:hint="eastAsia"/>
        </w:rPr>
      </w:pPr>
    </w:p>
    <w:p w14:paraId="60F73674">
      <w:pPr>
        <w:pStyle w:val="3"/>
        <w:rPr>
          <w:rFonts w:hint="eastAsia"/>
        </w:rPr>
      </w:pPr>
    </w:p>
    <w:p w14:paraId="20DEC1BC">
      <w:pPr>
        <w:pStyle w:val="3"/>
        <w:rPr>
          <w:rFonts w:hint="eastAsia"/>
        </w:rPr>
      </w:pPr>
    </w:p>
    <w:p w14:paraId="54DFC5F5">
      <w:pPr>
        <w:pStyle w:val="3"/>
        <w:rPr>
          <w:rFonts w:hint="eastAsia"/>
        </w:rPr>
      </w:pPr>
    </w:p>
    <w:p w14:paraId="6934BAD3">
      <w:pPr>
        <w:pStyle w:val="3"/>
        <w:rPr>
          <w:rFonts w:hint="eastAsia"/>
        </w:rPr>
      </w:pPr>
    </w:p>
    <w:p w14:paraId="0B5C03B2">
      <w:pPr>
        <w:pStyle w:val="3"/>
        <w:rPr>
          <w:rFonts w:hint="eastAsia"/>
        </w:rPr>
      </w:pPr>
    </w:p>
    <w:p w14:paraId="36924EA3">
      <w:pPr>
        <w:pStyle w:val="3"/>
        <w:rPr>
          <w:rFonts w:hint="eastAsia"/>
        </w:rPr>
      </w:pPr>
    </w:p>
    <w:p w14:paraId="24E35235">
      <w:pPr>
        <w:pStyle w:val="3"/>
        <w:rPr>
          <w:rFonts w:hint="eastAsia"/>
        </w:rPr>
      </w:pPr>
    </w:p>
    <w:p w14:paraId="4A255262">
      <w:pPr>
        <w:pStyle w:val="23"/>
      </w:pPr>
      <w:r>
        <w:t xml:space="preserve"> </w:t>
      </w:r>
      <w:r>
        <w:rPr>
          <w:rFonts w:hint="eastAsia" w:asciiTheme="majorHAnsi" w:hAnsiTheme="majorHAnsi" w:eastAsiaTheme="majorEastAsia" w:cstheme="majorBidi"/>
          <w:color w:val="0F4761" w:themeColor="accent1" w:themeShade="BF"/>
          <w:sz w:val="32"/>
          <w:szCs w:val="32"/>
          <w:lang w:val="en-US" w:eastAsia="zh-CN" w:bidi="ar-SA"/>
        </w:rPr>
        <w:t>二、 负载型催化剂上”单分子活化”的微观氧化机制</w:t>
      </w:r>
    </w:p>
    <w:p w14:paraId="4A879CFC">
      <w:pPr>
        <w:pStyle w:val="3"/>
      </w:pPr>
      <w:r>
        <w:rPr>
          <w:rFonts w:hint="eastAsia"/>
        </w:rPr>
        <w:t>在明确煤制气副产轻烃中恶臭微量硫/氮污染物的形态组成之后，本节聚焦于负载型催化剂上单分子硫/氮化合物的催化氧化脱硫（CODS）微观机制。CODS</w:t>
      </w:r>
      <w:r>
        <w:t xml:space="preserve"> </w:t>
      </w:r>
      <w:r>
        <w:rPr>
          <w:rFonts w:hint="eastAsia"/>
        </w:rPr>
        <w:t>的核心在于通过活性中心对氧化剂的活化，生成具有高亲电性的活性氧物种，进而进攻有机硫分子中硫原子的孤对电子，实现</w:t>
      </w:r>
      <w:r>
        <w:t xml:space="preserve"> C–S </w:t>
      </w:r>
      <w:r>
        <w:rPr>
          <w:rFonts w:hint="eastAsia"/>
        </w:rPr>
        <w:t>键的氧化断裂或极性转化。这一过程涉及活性中心的电子结构调控、氧化剂的配位活化、以及底物分子在活性位上的吸附–反应–脱附全动力学链条。以下从三个层面系统阐述单分子活化的微观机制。</w:t>
      </w:r>
    </w:p>
    <w:bookmarkEnd w:id="5"/>
    <w:p w14:paraId="5416BCB0">
      <w:pPr>
        <w:pStyle w:val="5"/>
      </w:pPr>
      <w:bookmarkStart w:id="6" w:name="活性中心构建过渡金属氧化物与多酸的分散配位化学"/>
      <w:r>
        <w:t xml:space="preserve">2.1 </w:t>
      </w:r>
      <w:r>
        <w:rPr>
          <w:rFonts w:hint="eastAsia"/>
        </w:rPr>
        <w:t>活性中心构建：过渡金属氧化物与多酸的分散–配位化学</w:t>
      </w:r>
    </w:p>
    <w:p w14:paraId="12BCC136">
      <w:pPr>
        <w:pStyle w:val="23"/>
      </w:pPr>
      <w:r>
        <w:rPr>
          <w:rFonts w:hint="eastAsia"/>
        </w:rPr>
        <w:t>负载型</w:t>
      </w:r>
      <w:r>
        <w:t xml:space="preserve"> CODS </w:t>
      </w:r>
      <w:r>
        <w:rPr>
          <w:rFonts w:hint="eastAsia"/>
        </w:rPr>
        <w:t>催化剂的活性中心主要由过渡金属氧化物（W、Mo、V、Ti、Nb、Ta</w:t>
      </w:r>
      <w:r>
        <w:t xml:space="preserve"> </w:t>
      </w:r>
      <w:r>
        <w:rPr>
          <w:rFonts w:hint="eastAsia"/>
        </w:rPr>
        <w:t>等）或杂多酸（Heteropolyacids,</w:t>
      </w:r>
      <w:r>
        <w:t xml:space="preserve"> </w:t>
      </w:r>
      <w:r>
        <w:rPr>
          <w:rFonts w:hint="eastAsia"/>
        </w:rPr>
        <w:t>HPA）构成，其催化性能高度依赖于活性组分在多孔载体表面的分散度、配位几何构型及氧化还原特性。</w:t>
      </w:r>
    </w:p>
    <w:p w14:paraId="6B31DA39">
      <w:pPr>
        <w:pStyle w:val="3"/>
      </w:pPr>
      <w:r>
        <w:rPr>
          <w:rFonts w:hint="eastAsia"/>
          <w:b/>
          <w:bCs/>
        </w:rPr>
        <w:t>过渡金属氧化物的表面配位结构。</w:t>
      </w:r>
      <w:r>
        <w:t xml:space="preserve"> </w:t>
      </w:r>
      <w:r>
        <w:rPr>
          <w:rFonts w:hint="eastAsia"/>
        </w:rPr>
        <w:t>以钨基体系为例，WOₓ/支持体催化剂在煅烧和水热处理过程中经历从孤立四面体</w:t>
      </w:r>
      <w:r>
        <w:t xml:space="preserve"> WO₄ </w:t>
      </w:r>
      <w:r>
        <w:rPr>
          <w:rFonts w:hint="eastAsia"/>
        </w:rPr>
        <w:t>到二维多聚钨氧物种（polytungsten</w:t>
      </w:r>
      <w:r>
        <w:t xml:space="preserve"> </w:t>
      </w:r>
      <w:r>
        <w:rPr>
          <w:rFonts w:hint="eastAsia"/>
        </w:rPr>
        <w:t>species）再到体相</w:t>
      </w:r>
      <w:r>
        <w:t xml:space="preserve"> WO₃ </w:t>
      </w:r>
      <w:r>
        <w:rPr>
          <w:rFonts w:hint="eastAsia"/>
        </w:rPr>
        <w:t>的相变序列。在低钨负载量（&lt;</w:t>
      </w:r>
      <w:r>
        <w:t xml:space="preserve"> 3–5 </w:t>
      </w:r>
      <w:r>
        <w:rPr>
          <w:rFonts w:hint="eastAsia"/>
        </w:rPr>
        <w:t>wt%）条件下，钨物种以孤立的四面体配位形式锚定在载体表面，形成</w:t>
      </w:r>
      <w:r>
        <w:t xml:space="preserve"> W=O </w:t>
      </w:r>
      <w:r>
        <w:rPr>
          <w:rFonts w:hint="eastAsia"/>
        </w:rPr>
        <w:t>端基（键长</w:t>
      </w:r>
      <w:r>
        <w:t xml:space="preserve"> ~1.68 </w:t>
      </w:r>
      <w:r>
        <w:rPr>
          <w:rFonts w:hint="eastAsia"/>
        </w:rPr>
        <w:t>Å，红外吸收峰位于</w:t>
      </w:r>
      <w:r>
        <w:t xml:space="preserve"> 980–1000 </w:t>
      </w:r>
      <w:r>
        <w:rPr>
          <w:rFonts w:hint="eastAsia"/>
        </w:rPr>
        <w:t>cm⁻¹），这是氧化脱硫过程中最关键的活性氧供体位点。随着负载量增加，钨物种逐渐缩聚为二聚体（μ-氧桥连的</w:t>
      </w:r>
      <w:r>
        <w:t xml:space="preserve"> W–O–W </w:t>
      </w:r>
      <w:r>
        <w:rPr>
          <w:rFonts w:hint="eastAsia"/>
        </w:rPr>
        <w:t>结构，红外峰位移至</w:t>
      </w:r>
      <w:r>
        <w:t xml:space="preserve"> 920–940 </w:t>
      </w:r>
      <w:r>
        <w:rPr>
          <w:rFonts w:hint="eastAsia"/>
        </w:rPr>
        <w:t>cm⁻¹）和多聚体，直至超过表面覆盖阈值后结晶析出为三维体相</w:t>
      </w:r>
      <w:r>
        <w:t xml:space="preserve"> </w:t>
      </w:r>
      <w:r>
        <w:rPr>
          <w:rFonts w:hint="eastAsia"/>
        </w:rPr>
        <w:t>WO₃（红外特征峰</w:t>
      </w:r>
      <w:r>
        <w:t xml:space="preserve"> ~720 </w:t>
      </w:r>
      <w:r>
        <w:rPr>
          <w:rFonts w:hint="eastAsia"/>
        </w:rPr>
        <w:t>cm⁻¹），其催化活性显著低于分散态钨物种。这一”分散–聚合–结晶”三相转变规律同样适用于</w:t>
      </w:r>
      <w:r>
        <w:t xml:space="preserve"> MoOₓ、V₂Oₓ </w:t>
      </w:r>
      <w:r>
        <w:rPr>
          <w:rFonts w:hint="eastAsia"/>
        </w:rPr>
        <w:t>和</w:t>
      </w:r>
      <w:r>
        <w:t xml:space="preserve"> TiOₓ </w:t>
      </w:r>
      <w:r>
        <w:rPr>
          <w:rFonts w:hint="eastAsia"/>
        </w:rPr>
        <w:t>体系，尽管各自的临界分散阈值因金属–氧键强度和表面亲和力而异。</w:t>
      </w:r>
    </w:p>
    <w:p w14:paraId="77222A8E">
      <w:pPr>
        <w:pStyle w:val="3"/>
      </w:pPr>
      <w:r>
        <w:rPr>
          <w:rFonts w:hint="eastAsia"/>
          <w:b/>
          <w:bCs/>
        </w:rPr>
        <w:t>杂多酸（HPA）的</w:t>
      </w:r>
      <w:r>
        <w:rPr>
          <w:b/>
          <w:bCs/>
        </w:rPr>
        <w:t xml:space="preserve"> Keggin </w:t>
      </w:r>
      <w:r>
        <w:rPr>
          <w:rFonts w:hint="eastAsia"/>
          <w:b/>
          <w:bCs/>
        </w:rPr>
        <w:t>结构与酸性–氧化性耦合。</w:t>
      </w:r>
      <w:r>
        <w:t xml:space="preserve"> </w:t>
      </w:r>
      <w:r>
        <w:rPr>
          <w:rFonts w:hint="eastAsia"/>
        </w:rPr>
        <w:t>磷钨酸（H₃PW₁₂O₄₀,</w:t>
      </w:r>
      <w:r>
        <w:t xml:space="preserve"> </w:t>
      </w:r>
      <w:r>
        <w:rPr>
          <w:rFonts w:hint="eastAsia"/>
        </w:rPr>
        <w:t>HPW）、硅钨酸（H₄SiW₁₂O₄₀,</w:t>
      </w:r>
      <w:r>
        <w:t xml:space="preserve"> </w:t>
      </w:r>
      <w:r>
        <w:rPr>
          <w:rFonts w:hint="eastAsia"/>
        </w:rPr>
        <w:t>H₄SW）等</w:t>
      </w:r>
      <w:r>
        <w:t xml:space="preserve"> Keggin </w:t>
      </w:r>
      <w:r>
        <w:rPr>
          <w:rFonts w:hint="eastAsia"/>
        </w:rPr>
        <w:t>型杂多酸兼具超强</w:t>
      </w:r>
      <w:r>
        <w:t xml:space="preserve"> Brønsted </w:t>
      </w:r>
      <w:r>
        <w:rPr>
          <w:rFonts w:hint="eastAsia"/>
        </w:rPr>
        <w:t>酸性和可逆的多电子氧化还原能力，是</w:t>
      </w:r>
      <w:r>
        <w:t xml:space="preserve"> CODS </w:t>
      </w:r>
      <w:r>
        <w:rPr>
          <w:rFonts w:hint="eastAsia"/>
        </w:rPr>
        <w:t>领域中极具代表性的活性中心。HPW</w:t>
      </w:r>
      <w:r>
        <w:t xml:space="preserve"> </w:t>
      </w:r>
      <w:r>
        <w:rPr>
          <w:rFonts w:hint="eastAsia"/>
        </w:rPr>
        <w:t>的</w:t>
      </w:r>
      <w:r>
        <w:t xml:space="preserve"> Hammett </w:t>
      </w:r>
      <w:r>
        <w:rPr>
          <w:rFonts w:hint="eastAsia"/>
        </w:rPr>
        <w:t>酸度函数</w:t>
      </w:r>
      <w:r>
        <w:t xml:space="preserve"> H₀ </w:t>
      </w:r>
      <w:r>
        <w:rPr>
          <w:rFonts w:hint="eastAsia"/>
        </w:rPr>
        <w:t>可达</w:t>
      </w:r>
      <w:r>
        <w:t xml:space="preserve"> </w:t>
      </w:r>
      <w:r>
        <w:rPr>
          <w:rFonts w:hint="eastAsia"/>
        </w:rPr>
        <w:t>–14.2，强于浓硫酸（H₀</w:t>
      </w:r>
      <w:r>
        <w:t xml:space="preserve"> ≈ </w:t>
      </w:r>
      <w:r>
        <w:rPr>
          <w:rFonts w:hint="eastAsia"/>
        </w:rPr>
        <w:t>–12），使其不仅可作为氧化中心，还能通过质子化活化含硫底物的孤对电子。Keggin</w:t>
      </w:r>
      <w:r>
        <w:t xml:space="preserve"> </w:t>
      </w:r>
      <w:r>
        <w:rPr>
          <w:rFonts w:hint="eastAsia"/>
        </w:rPr>
        <w:t>阴离子</w:t>
      </w:r>
      <w:r>
        <w:t xml:space="preserve"> [XM₁₂O₄₀]ⁿ⁻ </w:t>
      </w:r>
      <w:r>
        <w:rPr>
          <w:rFonts w:hint="eastAsia"/>
        </w:rPr>
        <w:t>的结构稳定性取决于中心杂原子</w:t>
      </w:r>
      <w:r>
        <w:t xml:space="preserve"> </w:t>
      </w:r>
      <w:r>
        <w:rPr>
          <w:rFonts w:hint="eastAsia"/>
        </w:rPr>
        <w:t>X（P⁵⁺、Si⁴⁺</w:t>
      </w:r>
      <w:r>
        <w:t xml:space="preserve"> </w:t>
      </w:r>
      <w:r>
        <w:rPr>
          <w:rFonts w:hint="eastAsia"/>
        </w:rPr>
        <w:t>等）和外围过渡金属</w:t>
      </w:r>
      <w:r>
        <w:t xml:space="preserve"> </w:t>
      </w:r>
      <w:r>
        <w:rPr>
          <w:rFonts w:hint="eastAsia"/>
        </w:rPr>
        <w:t>M（W⁶⁺、Mo⁶⁺</w:t>
      </w:r>
      <w:r>
        <w:t xml:space="preserve"> </w:t>
      </w:r>
      <w:r>
        <w:rPr>
          <w:rFonts w:hint="eastAsia"/>
        </w:rPr>
        <w:t>等）的电子效应——引入部分</w:t>
      </w:r>
      <w:r>
        <w:t xml:space="preserve"> Mo </w:t>
      </w:r>
      <w:r>
        <w:rPr>
          <w:rFonts w:hint="eastAsia"/>
        </w:rPr>
        <w:t>替代</w:t>
      </w:r>
      <w:r>
        <w:t xml:space="preserve"> </w:t>
      </w:r>
      <w:r>
        <w:rPr>
          <w:rFonts w:hint="eastAsia"/>
        </w:rPr>
        <w:t>W（如</w:t>
      </w:r>
      <w:r>
        <w:t xml:space="preserve"> H₃PMo₁₂O₄₀ </w:t>
      </w:r>
      <w:r>
        <w:rPr>
          <w:rFonts w:hint="eastAsia"/>
        </w:rPr>
        <w:t>或</w:t>
      </w:r>
      <w:r>
        <w:t xml:space="preserve"> </w:t>
      </w:r>
      <w:r>
        <w:rPr>
          <w:rFonts w:hint="eastAsia"/>
        </w:rPr>
        <w:t>H₃PWₓMo₁₂₋ₓO₄₀）可降低还原电位，提高</w:t>
      </w:r>
      <w:r>
        <w:t xml:space="preserve"> H₂O₂ </w:t>
      </w:r>
      <w:r>
        <w:rPr>
          <w:rFonts w:hint="eastAsia"/>
        </w:rPr>
        <w:t>活化效率。然而，HPA</w:t>
      </w:r>
      <w:r>
        <w:t xml:space="preserve"> </w:t>
      </w:r>
      <w:r>
        <w:rPr>
          <w:rFonts w:hint="eastAsia"/>
        </w:rPr>
        <w:t>在水热条件下的浸出（leaching）问题限制了其在液–液两相体系中的循环稳定性，这也是负载型</w:t>
      </w:r>
      <w:r>
        <w:t xml:space="preserve"> HPA </w:t>
      </w:r>
      <w:r>
        <w:rPr>
          <w:rFonts w:hint="eastAsia"/>
        </w:rPr>
        <w:t>催化剂设计的核心驱动力之一。</w:t>
      </w:r>
    </w:p>
    <w:p w14:paraId="0CDC6BCB">
      <w:pPr>
        <w:pStyle w:val="3"/>
      </w:pPr>
      <w:r>
        <w:rPr>
          <w:rFonts w:hint="eastAsia"/>
          <w:b/>
          <w:bCs/>
        </w:rPr>
        <w:t>载体的配位锚定与界面协同效应。</w:t>
      </w:r>
      <w:r>
        <w:t xml:space="preserve"> </w:t>
      </w:r>
      <w:r>
        <w:rPr>
          <w:rFonts w:hint="eastAsia"/>
        </w:rPr>
        <w:t>载体不仅是活性组分的物理支撑，更通过金属–载体强相互作用（Strong</w:t>
      </w:r>
      <w:r>
        <w:t xml:space="preserve"> Metal–Support Interaction, </w:t>
      </w:r>
      <w:r>
        <w:rPr>
          <w:rFonts w:hint="eastAsia"/>
        </w:rPr>
        <w:t>SMSI）调控活性中心的电子密度和几何构型。分子筛（如</w:t>
      </w:r>
      <w:r>
        <w:t xml:space="preserve"> </w:t>
      </w:r>
      <w:r>
        <w:rPr>
          <w:rFonts w:hint="eastAsia"/>
        </w:rPr>
        <w:t>Hβ、HY、HZSM-5）的</w:t>
      </w:r>
      <w:r>
        <w:t xml:space="preserve"> Brønsted </w:t>
      </w:r>
      <w:r>
        <w:rPr>
          <w:rFonts w:hint="eastAsia"/>
        </w:rPr>
        <w:t>酸位可与</w:t>
      </w:r>
      <w:r>
        <w:t xml:space="preserve"> HPA </w:t>
      </w:r>
      <w:r>
        <w:rPr>
          <w:rFonts w:hint="eastAsia"/>
        </w:rPr>
        <w:t>的酸性位产生协同，增强底物的预组织吸附；介孔</w:t>
      </w:r>
      <w:r>
        <w:t xml:space="preserve"> Al₂O₃ </w:t>
      </w:r>
      <w:r>
        <w:rPr>
          <w:rFonts w:hint="eastAsia"/>
        </w:rPr>
        <w:t>的表面羟基（–OH）通过氢键与</w:t>
      </w:r>
      <w:r>
        <w:t xml:space="preserve"> HPA </w:t>
      </w:r>
      <w:r>
        <w:rPr>
          <w:rFonts w:hint="eastAsia"/>
        </w:rPr>
        <w:t>的质子相互作用，形成”酸–酸”耦合界面；碳材料（如</w:t>
      </w:r>
      <w:r>
        <w:t xml:space="preserve"> </w:t>
      </w:r>
      <w:r>
        <w:rPr>
          <w:rFonts w:hint="eastAsia"/>
        </w:rPr>
        <w:t>CNT、石墨烯、活性炭）的</w:t>
      </w:r>
      <w:r>
        <w:t xml:space="preserve"> π </w:t>
      </w:r>
      <w:r>
        <w:rPr>
          <w:rFonts w:hint="eastAsia"/>
        </w:rPr>
        <w:t>电子体系则可通过</w:t>
      </w:r>
      <w:r>
        <w:t xml:space="preserve"> π–d </w:t>
      </w:r>
      <w:r>
        <w:rPr>
          <w:rFonts w:hint="eastAsia"/>
        </w:rPr>
        <w:t>轨道杂化调节负载金属的氧化态。此外，载体孔道的尺寸限域效应（confined</w:t>
      </w:r>
      <w:r>
        <w:t xml:space="preserve"> </w:t>
      </w:r>
      <w:r>
        <w:rPr>
          <w:rFonts w:hint="eastAsia"/>
        </w:rPr>
        <w:t>effect）对活性中心的几何约束——当活性位点被限制在分子筛的</w:t>
      </w:r>
      <w:r>
        <w:t xml:space="preserve"> 10 </w:t>
      </w:r>
      <w:r>
        <w:rPr>
          <w:rFonts w:hint="eastAsia"/>
        </w:rPr>
        <w:t>元环或</w:t>
      </w:r>
      <w:r>
        <w:t xml:space="preserve"> 12 </w:t>
      </w:r>
      <w:r>
        <w:rPr>
          <w:rFonts w:hint="eastAsia"/>
        </w:rPr>
        <w:t>元环孔道内部时，其可及性受到孔径的选择性调控，这为后续讨论的空间选择性氧化奠定了结构基础。</w:t>
      </w:r>
    </w:p>
    <w:p w14:paraId="5FA47C75">
      <w:pPr>
        <w:pStyle w:val="3"/>
      </w:pPr>
      <w:r>
        <w:rPr>
          <w:rFonts w:hint="eastAsia"/>
        </w:rPr>
        <w:t>表</w:t>
      </w:r>
      <w:r>
        <w:t xml:space="preserve"> 3 </w:t>
      </w:r>
      <w:r>
        <w:rPr>
          <w:rFonts w:hint="eastAsia"/>
        </w:rPr>
        <w:t>汇总了常见负载型</w:t>
      </w:r>
      <w:r>
        <w:t xml:space="preserve"> CODS </w:t>
      </w:r>
      <w:r>
        <w:rPr>
          <w:rFonts w:hint="eastAsia"/>
        </w:rPr>
        <w:t>催化剂活性中心的关键参数。</w:t>
      </w:r>
    </w:p>
    <w:p w14:paraId="0F25265C">
      <w:pPr>
        <w:pStyle w:val="3"/>
      </w:pPr>
      <w:r>
        <w:rPr>
          <w:rFonts w:hint="eastAsia"/>
          <w:b/>
          <w:bCs/>
        </w:rPr>
        <w:t>表</w:t>
      </w:r>
      <w:r>
        <w:rPr>
          <w:b/>
          <w:bCs/>
        </w:rPr>
        <w:t xml:space="preserve"> 3 </w:t>
      </w:r>
      <w:r>
        <w:rPr>
          <w:rFonts w:hint="eastAsia"/>
          <w:b/>
          <w:bCs/>
        </w:rPr>
        <w:t>常见负载型</w:t>
      </w:r>
      <w:r>
        <w:rPr>
          <w:b/>
          <w:bCs/>
        </w:rPr>
        <w:t xml:space="preserve"> CODS </w:t>
      </w:r>
      <w:r>
        <w:rPr>
          <w:rFonts w:hint="eastAsia"/>
          <w:b/>
          <w:bCs/>
        </w:rPr>
        <w:t>催化剂活性中心的结构–性能参数</w:t>
      </w:r>
    </w:p>
    <w:tbl>
      <w:tblPr>
        <w:tblStyle w:val="41"/>
        <w:tblW w:w="5000" w:type="pct"/>
        <w:tblInd w:w="0" w:type="dxa"/>
        <w:tblLayout w:type="fixed"/>
        <w:tblCellMar>
          <w:top w:w="0" w:type="dxa"/>
          <w:left w:w="108" w:type="dxa"/>
          <w:bottom w:w="0" w:type="dxa"/>
          <w:right w:w="108" w:type="dxa"/>
        </w:tblCellMar>
      </w:tblPr>
      <w:tblGrid>
        <w:gridCol w:w="1107"/>
        <w:gridCol w:w="738"/>
        <w:gridCol w:w="1476"/>
        <w:gridCol w:w="1968"/>
        <w:gridCol w:w="1845"/>
        <w:gridCol w:w="1722"/>
      </w:tblGrid>
      <w:tr w14:paraId="010026ED">
        <w:tblPrEx>
          <w:tblCellMar>
            <w:top w:w="0" w:type="dxa"/>
            <w:left w:w="108" w:type="dxa"/>
            <w:bottom w:w="0" w:type="dxa"/>
            <w:right w:w="108" w:type="dxa"/>
          </w:tblCellMar>
        </w:tblPrEx>
        <w:trPr>
          <w:tblHeader/>
        </w:trPr>
        <w:tc>
          <w:p w14:paraId="4606D531">
            <w:pPr>
              <w:pStyle w:val="24"/>
            </w:pPr>
            <w:r>
              <w:rPr>
                <w:rFonts w:hint="eastAsia"/>
              </w:rPr>
              <w:t>活性组分</w:t>
            </w:r>
          </w:p>
        </w:tc>
        <w:tc>
          <w:p w14:paraId="71F39407">
            <w:pPr>
              <w:pStyle w:val="24"/>
            </w:pPr>
            <w:r>
              <w:rPr>
                <w:rFonts w:hint="eastAsia"/>
              </w:rPr>
              <w:t>载体</w:t>
            </w:r>
          </w:p>
        </w:tc>
        <w:tc>
          <w:p w14:paraId="7E720EBA">
            <w:pPr>
              <w:pStyle w:val="24"/>
            </w:pPr>
            <w:r>
              <w:rPr>
                <w:rFonts w:hint="eastAsia"/>
              </w:rPr>
              <w:t>表面配位构型</w:t>
            </w:r>
          </w:p>
        </w:tc>
        <w:tc>
          <w:p w14:paraId="1291DFD1">
            <w:pPr>
              <w:pStyle w:val="24"/>
            </w:pPr>
            <w:r>
              <w:rPr>
                <w:rFonts w:hint="eastAsia"/>
              </w:rPr>
              <w:t>特征红外峰/cm⁻¹</w:t>
            </w:r>
          </w:p>
        </w:tc>
        <w:tc>
          <w:p w14:paraId="59E32C56">
            <w:pPr>
              <w:pStyle w:val="24"/>
            </w:pPr>
            <w:r>
              <w:rPr>
                <w:rFonts w:hint="eastAsia"/>
              </w:rPr>
              <w:t>最佳负载量/wt%</w:t>
            </w:r>
          </w:p>
        </w:tc>
        <w:tc>
          <w:p w14:paraId="690858B6">
            <w:pPr>
              <w:pStyle w:val="24"/>
            </w:pPr>
            <w:r>
              <w:rPr>
                <w:rFonts w:hint="eastAsia"/>
              </w:rPr>
              <w:t>主要活性氧物种</w:t>
            </w:r>
          </w:p>
        </w:tc>
      </w:tr>
      <w:tr w14:paraId="20F132CE">
        <w:tblPrEx>
          <w:tblCellMar>
            <w:top w:w="0" w:type="dxa"/>
            <w:left w:w="108" w:type="dxa"/>
            <w:bottom w:w="0" w:type="dxa"/>
            <w:right w:w="108" w:type="dxa"/>
          </w:tblCellMar>
        </w:tblPrEx>
        <w:tc>
          <w:p w14:paraId="6C01D528">
            <w:pPr>
              <w:pStyle w:val="24"/>
            </w:pPr>
            <w:r>
              <w:t>WOₓ</w:t>
            </w:r>
          </w:p>
        </w:tc>
        <w:tc>
          <w:p w14:paraId="10A48041">
            <w:pPr>
              <w:pStyle w:val="24"/>
            </w:pPr>
            <w:r>
              <w:t>SiO₂</w:t>
            </w:r>
          </w:p>
        </w:tc>
        <w:tc>
          <w:p w14:paraId="0C5CAF1C">
            <w:pPr>
              <w:pStyle w:val="24"/>
            </w:pPr>
            <w:r>
              <w:rPr>
                <w:rFonts w:hint="eastAsia"/>
              </w:rPr>
              <w:t>孤立四面体</w:t>
            </w:r>
            <w:r>
              <w:t xml:space="preserve"> W(O₄)</w:t>
            </w:r>
          </w:p>
        </w:tc>
        <w:tc>
          <w:p w14:paraId="7098C1E5">
            <w:pPr>
              <w:pStyle w:val="24"/>
            </w:pPr>
            <w:r>
              <w:t>980 (W=O)</w:t>
            </w:r>
          </w:p>
        </w:tc>
        <w:tc>
          <w:p w14:paraId="232564D4">
            <w:pPr>
              <w:pStyle w:val="24"/>
            </w:pPr>
            <w:r>
              <w:t>3–5</w:t>
            </w:r>
          </w:p>
        </w:tc>
        <w:tc>
          <w:p w14:paraId="5FFF7D0A">
            <w:pPr>
              <w:pStyle w:val="24"/>
            </w:pPr>
            <w:r>
              <w:t>W=O, W–OOH</w:t>
            </w:r>
          </w:p>
        </w:tc>
      </w:tr>
      <w:tr w14:paraId="252B05F5">
        <w:tblPrEx>
          <w:tblCellMar>
            <w:top w:w="0" w:type="dxa"/>
            <w:left w:w="108" w:type="dxa"/>
            <w:bottom w:w="0" w:type="dxa"/>
            <w:right w:w="108" w:type="dxa"/>
          </w:tblCellMar>
        </w:tblPrEx>
        <w:tc>
          <w:p w14:paraId="70864573">
            <w:pPr>
              <w:pStyle w:val="24"/>
            </w:pPr>
            <w:r>
              <w:t>MoOₓ</w:t>
            </w:r>
          </w:p>
        </w:tc>
        <w:tc>
          <w:p w14:paraId="6A5D2009">
            <w:pPr>
              <w:pStyle w:val="24"/>
            </w:pPr>
            <w:r>
              <w:t>TiO₂</w:t>
            </w:r>
          </w:p>
        </w:tc>
        <w:tc>
          <w:p w14:paraId="0249E629">
            <w:pPr>
              <w:pStyle w:val="24"/>
            </w:pPr>
            <w:r>
              <w:rPr>
                <w:rFonts w:hint="eastAsia"/>
              </w:rPr>
              <w:t>四面体/八面体混合</w:t>
            </w:r>
          </w:p>
        </w:tc>
        <w:tc>
          <w:p w14:paraId="746D8435">
            <w:pPr>
              <w:pStyle w:val="24"/>
            </w:pPr>
            <w:r>
              <w:t>900–960 (Mo=O)</w:t>
            </w:r>
          </w:p>
        </w:tc>
        <w:tc>
          <w:p w14:paraId="57D5965E">
            <w:pPr>
              <w:pStyle w:val="24"/>
            </w:pPr>
            <w:r>
              <w:t>4–8</w:t>
            </w:r>
          </w:p>
        </w:tc>
        <w:tc>
          <w:p w14:paraId="60FFB684">
            <w:pPr>
              <w:pStyle w:val="24"/>
            </w:pPr>
            <w:r>
              <w:t>Mo=O, Mo–OOH</w:t>
            </w:r>
          </w:p>
        </w:tc>
      </w:tr>
      <w:tr w14:paraId="6A728AB8">
        <w:tblPrEx>
          <w:tblCellMar>
            <w:top w:w="0" w:type="dxa"/>
            <w:left w:w="108" w:type="dxa"/>
            <w:bottom w:w="0" w:type="dxa"/>
            <w:right w:w="108" w:type="dxa"/>
          </w:tblCellMar>
        </w:tblPrEx>
        <w:tc>
          <w:p w14:paraId="5FEF23B9">
            <w:pPr>
              <w:pStyle w:val="24"/>
            </w:pPr>
            <w:r>
              <w:t>H₃PW₁₂O₄₀</w:t>
            </w:r>
          </w:p>
        </w:tc>
        <w:tc>
          <w:p w14:paraId="7C1339B3">
            <w:pPr>
              <w:pStyle w:val="24"/>
            </w:pPr>
            <w:r>
              <w:t>SBA-15</w:t>
            </w:r>
          </w:p>
        </w:tc>
        <w:tc>
          <w:p w14:paraId="07A48337">
            <w:pPr>
              <w:pStyle w:val="24"/>
            </w:pPr>
            <w:r>
              <w:t xml:space="preserve">Keggin </w:t>
            </w:r>
            <w:r>
              <w:rPr>
                <w:rFonts w:hint="eastAsia"/>
              </w:rPr>
              <w:t>完整结构</w:t>
            </w:r>
          </w:p>
        </w:tc>
        <w:tc>
          <w:p w14:paraId="07D6C7C5">
            <w:pPr>
              <w:pStyle w:val="24"/>
            </w:pPr>
            <w:r>
              <w:t>1080 (P–O), 980 (W=O)</w:t>
            </w:r>
          </w:p>
        </w:tc>
        <w:tc>
          <w:p w14:paraId="2287DAA2">
            <w:pPr>
              <w:pStyle w:val="24"/>
            </w:pPr>
            <w:r>
              <w:t>15–30</w:t>
            </w:r>
          </w:p>
        </w:tc>
        <w:tc>
          <w:p w14:paraId="280858D0">
            <w:pPr>
              <w:pStyle w:val="24"/>
            </w:pPr>
            <w:r>
              <w:t>H₅O₂⁺, W=O</w:t>
            </w:r>
          </w:p>
        </w:tc>
      </w:tr>
      <w:tr w14:paraId="0E5970C2">
        <w:tblPrEx>
          <w:tblCellMar>
            <w:top w:w="0" w:type="dxa"/>
            <w:left w:w="108" w:type="dxa"/>
            <w:bottom w:w="0" w:type="dxa"/>
            <w:right w:w="108" w:type="dxa"/>
          </w:tblCellMar>
        </w:tblPrEx>
        <w:tc>
          <w:p w14:paraId="77C862E5">
            <w:pPr>
              <w:pStyle w:val="24"/>
            </w:pPr>
            <w:r>
              <w:t>VOₓ</w:t>
            </w:r>
          </w:p>
        </w:tc>
        <w:tc>
          <w:p w14:paraId="0AC4410A">
            <w:pPr>
              <w:pStyle w:val="24"/>
            </w:pPr>
            <w:r>
              <w:t>Al₂O₃</w:t>
            </w:r>
          </w:p>
        </w:tc>
        <w:tc>
          <w:p w14:paraId="7AF50F43">
            <w:pPr>
              <w:pStyle w:val="24"/>
            </w:pPr>
            <w:r>
              <w:rPr>
                <w:rFonts w:hint="eastAsia"/>
              </w:rPr>
              <w:t>四面体</w:t>
            </w:r>
            <w:r>
              <w:t xml:space="preserve"> VO₄</w:t>
            </w:r>
          </w:p>
        </w:tc>
        <w:tc>
          <w:p w14:paraId="394D1342">
            <w:pPr>
              <w:pStyle w:val="24"/>
            </w:pPr>
            <w:r>
              <w:t>1030 (V=O)</w:t>
            </w:r>
          </w:p>
        </w:tc>
        <w:tc>
          <w:p w14:paraId="346BC420">
            <w:pPr>
              <w:pStyle w:val="24"/>
            </w:pPr>
            <w:r>
              <w:t>2–4</w:t>
            </w:r>
          </w:p>
        </w:tc>
        <w:tc>
          <w:p w14:paraId="043FDC72">
            <w:pPr>
              <w:pStyle w:val="24"/>
            </w:pPr>
            <w:r>
              <w:t>V=O, V–OOH</w:t>
            </w:r>
          </w:p>
        </w:tc>
      </w:tr>
      <w:tr w14:paraId="184F243D">
        <w:tblPrEx>
          <w:tblCellMar>
            <w:top w:w="0" w:type="dxa"/>
            <w:left w:w="108" w:type="dxa"/>
            <w:bottom w:w="0" w:type="dxa"/>
            <w:right w:w="108" w:type="dxa"/>
          </w:tblCellMar>
        </w:tblPrEx>
        <w:tc>
          <w:p w14:paraId="7434327D">
            <w:pPr>
              <w:pStyle w:val="24"/>
            </w:pPr>
            <w:r>
              <w:t>TiOₓ (TS-1)</w:t>
            </w:r>
          </w:p>
        </w:tc>
        <w:tc>
          <w:p w14:paraId="277D7024">
            <w:pPr>
              <w:pStyle w:val="24"/>
            </w:pPr>
            <w:r>
              <w:t>MCM-41</w:t>
            </w:r>
          </w:p>
        </w:tc>
        <w:tc>
          <w:p w14:paraId="55DEB723">
            <w:pPr>
              <w:pStyle w:val="24"/>
            </w:pPr>
            <w:r>
              <w:rPr>
                <w:rFonts w:hint="eastAsia"/>
              </w:rPr>
              <w:t>八面体</w:t>
            </w:r>
            <w:r>
              <w:t xml:space="preserve"> TiO₆</w:t>
            </w:r>
          </w:p>
        </w:tc>
        <w:tc>
          <w:p w14:paraId="508E9EEC">
            <w:pPr>
              <w:pStyle w:val="24"/>
            </w:pPr>
            <w:r>
              <w:t>550–600 (Ti–O–T)</w:t>
            </w:r>
          </w:p>
        </w:tc>
        <w:tc>
          <w:p w14:paraId="37569C38">
            <w:pPr>
              <w:pStyle w:val="24"/>
            </w:pPr>
            <w:r>
              <w:t>4–6</w:t>
            </w:r>
          </w:p>
        </w:tc>
        <w:tc>
          <w:p w14:paraId="55C1531F">
            <w:pPr>
              <w:pStyle w:val="24"/>
            </w:pPr>
            <w:r>
              <w:t>Ti–OOH, Ti=O</w:t>
            </w:r>
          </w:p>
        </w:tc>
      </w:tr>
      <w:bookmarkEnd w:id="6"/>
    </w:tbl>
    <w:p w14:paraId="30689E53">
      <w:pPr>
        <w:pStyle w:val="5"/>
      </w:pPr>
      <w:bookmarkStart w:id="7" w:name="氧化剂活化历程从过氧物种到自由基链"/>
      <w:r>
        <w:t xml:space="preserve">2.2 </w:t>
      </w:r>
      <w:r>
        <w:rPr>
          <w:rFonts w:hint="eastAsia"/>
        </w:rPr>
        <w:t>氧化剂活化历程：从过氧物种到自由基链</w:t>
      </w:r>
    </w:p>
    <w:p w14:paraId="4B42483B">
      <w:pPr>
        <w:pStyle w:val="23"/>
      </w:pPr>
      <w:r>
        <w:t xml:space="preserve">CODS </w:t>
      </w:r>
      <w:r>
        <w:rPr>
          <w:rFonts w:hint="eastAsia"/>
        </w:rPr>
        <w:t>过程的氧化剂主要分为两类：（i）过氧化氢（H₂O₂）和有机过氧化物（如</w:t>
      </w:r>
      <w:r>
        <w:t xml:space="preserve"> </w:t>
      </w:r>
      <w:r>
        <w:rPr>
          <w:rFonts w:hint="eastAsia"/>
        </w:rPr>
        <w:t>t-BuOOH）等亲电型氧化剂；（ii）空气/O₂</w:t>
      </w:r>
      <w:r>
        <w:t xml:space="preserve"> </w:t>
      </w:r>
      <w:r>
        <w:rPr>
          <w:rFonts w:hint="eastAsia"/>
        </w:rPr>
        <w:t>等自由基型氧化剂。两者在活性中心上的活化路径存在本质差异。</w:t>
      </w:r>
    </w:p>
    <w:p w14:paraId="7B434DFD">
      <w:pPr>
        <w:pStyle w:val="3"/>
      </w:pPr>
      <w:r>
        <w:rPr>
          <w:b/>
          <w:bCs/>
        </w:rPr>
        <w:t xml:space="preserve">H₂O₂ </w:t>
      </w:r>
      <w:r>
        <w:rPr>
          <w:rFonts w:hint="eastAsia"/>
          <w:b/>
          <w:bCs/>
        </w:rPr>
        <w:t>的亲电活化路径——金属–过氧（M–OOH）物种的形成。</w:t>
      </w:r>
      <w:r>
        <w:t xml:space="preserve"> H₂O₂ </w:t>
      </w:r>
      <w:r>
        <w:rPr>
          <w:rFonts w:hint="eastAsia"/>
        </w:rPr>
        <w:t>在过渡金属活性位上的活化遵循经典的”金属–过氧”机理。以</w:t>
      </w:r>
      <w:r>
        <w:t xml:space="preserve"> WOₓ/SiO₂ </w:t>
      </w:r>
      <w:r>
        <w:rPr>
          <w:rFonts w:hint="eastAsia"/>
        </w:rPr>
        <w:t>体系为例，表面孤立</w:t>
      </w:r>
      <w:r>
        <w:t xml:space="preserve"> W=O </w:t>
      </w:r>
      <w:r>
        <w:rPr>
          <w:rFonts w:hint="eastAsia"/>
        </w:rPr>
        <w:t>位点通过配位交换与</w:t>
      </w:r>
      <w:r>
        <w:t xml:space="preserve"> H₂O₂ </w:t>
      </w:r>
      <w:r>
        <w:rPr>
          <w:rFonts w:hint="eastAsia"/>
        </w:rPr>
        <w:t>反应，生成</w:t>
      </w:r>
      <w:r>
        <w:t xml:space="preserve"> W–OOH </w:t>
      </w:r>
      <w:r>
        <w:rPr>
          <w:rFonts w:hint="eastAsia"/>
        </w:rPr>
        <w:t>中间体：</w:t>
      </w:r>
    </w:p>
    <w:p w14:paraId="64207CD5">
      <w:pPr>
        <w:pStyle w:val="3"/>
      </w:pPr>
      <m:oMathPara>
        <m:oMathParaPr>
          <m:jc m:val="center"/>
        </m:oMathParaPr>
        <m:oMath>
          <m:r>
            <m:rPr>
              <m:sty m:val="p"/>
            </m:rPr>
            <m:t>≡W=O+</m:t>
          </m:r>
          <m:sSub>
            <m:sSubPr/>
            <m:e>
              <m:r>
                <m:rPr>
                  <m:sty m:val="p"/>
                </m:rPr>
                <m:t>H</m:t>
              </m:r>
            </m:e>
            <m:sub>
              <m:r>
                <m:rPr>
                  <m:sty m:val="p"/>
                </m:rPr>
                <m:t>2</m:t>
              </m:r>
            </m:sub>
          </m:sSub>
          <m:sSub>
            <m:sSubPr/>
            <m:e>
              <m:r>
                <m:rPr>
                  <m:sty m:val="p"/>
                </m:rPr>
                <m:t>O</m:t>
              </m:r>
            </m:e>
            <m:sub>
              <m:r>
                <m:rPr>
                  <m:sty m:val="p"/>
                </m:rPr>
                <m:t>2</m:t>
              </m:r>
            </m:sub>
          </m:sSub>
          <m:r>
            <m:rPr>
              <m:sty m:val="p"/>
            </m:rPr>
            <m:t>⇌≡W−O−O−H+⋅OH</m:t>
          </m:r>
        </m:oMath>
      </m:oMathPara>
    </w:p>
    <w:p w14:paraId="641F03EB">
      <w:pPr>
        <w:pStyle w:val="23"/>
      </w:pPr>
      <w:r>
        <w:rPr>
          <w:rFonts w:hint="eastAsia"/>
        </w:rPr>
        <w:t>该步骤是一个可逆的配位平衡过程，其平衡常数</w:t>
      </w:r>
      <w:r>
        <w:t xml:space="preserve"> K_eq </w:t>
      </w:r>
      <w:r>
        <w:rPr>
          <w:rFonts w:hint="eastAsia"/>
        </w:rPr>
        <w:t>随金属中心的</w:t>
      </w:r>
      <w:r>
        <w:t xml:space="preserve"> Lewis </w:t>
      </w:r>
      <w:r>
        <w:rPr>
          <w:rFonts w:hint="eastAsia"/>
        </w:rPr>
        <w:t>酸性增强而增大。生成的</w:t>
      </w:r>
      <w:r>
        <w:t xml:space="preserve"> W–OOH </w:t>
      </w:r>
      <w:r>
        <w:rPr>
          <w:rFonts w:hint="eastAsia"/>
        </w:rPr>
        <w:t>物种中，末端</w:t>
      </w:r>
      <w:r>
        <w:t xml:space="preserve"> O–O </w:t>
      </w:r>
      <w:r>
        <w:rPr>
          <w:rFonts w:hint="eastAsia"/>
        </w:rPr>
        <w:t>键因金属</w:t>
      </w:r>
      <w:r>
        <w:t xml:space="preserve"> d </w:t>
      </w:r>
      <w:r>
        <w:rPr>
          <w:rFonts w:hint="eastAsia"/>
        </w:rPr>
        <w:t>轨道的电子反馈而被削弱（键级从</w:t>
      </w:r>
      <w:r>
        <w:t xml:space="preserve"> H₂O₂ </w:t>
      </w:r>
      <w:r>
        <w:rPr>
          <w:rFonts w:hint="eastAsia"/>
        </w:rPr>
        <w:t>中的</w:t>
      </w:r>
      <w:r>
        <w:t xml:space="preserve"> ~1.0 </w:t>
      </w:r>
      <w:r>
        <w:rPr>
          <w:rFonts w:hint="eastAsia"/>
        </w:rPr>
        <w:t>降至</w:t>
      </w:r>
      <w:r>
        <w:t xml:space="preserve"> </w:t>
      </w:r>
      <w:r>
        <w:rPr>
          <w:rFonts w:hint="eastAsia"/>
        </w:rPr>
        <w:t>~0.7），使其成为高亲电性的活性氧供体。进一步的质子转移可导致</w:t>
      </w:r>
      <w:r>
        <w:t xml:space="preserve"> </w:t>
      </w:r>
      <w:r>
        <w:rPr>
          <w:rFonts w:hint="eastAsia"/>
        </w:rPr>
        <w:t>W=O–O⁻（过氧阴离子）或</w:t>
      </w:r>
      <w:r>
        <w:t xml:space="preserve"> </w:t>
      </w:r>
      <w:r>
        <w:rPr>
          <w:rFonts w:hint="eastAsia"/>
        </w:rPr>
        <w:t>W⁵⁺–OOH•（自由基型过氧物种）的生成，二者均可对噻吩类硫化物的硫原子发起亲电进攻。</w:t>
      </w:r>
    </w:p>
    <w:p w14:paraId="541E201A">
      <w:pPr>
        <w:pStyle w:val="3"/>
      </w:pPr>
      <w:r>
        <w:rPr>
          <w:rFonts w:hint="eastAsia"/>
        </w:rPr>
        <w:t>对于杂多酸体系，HPA</w:t>
      </w:r>
      <w:r>
        <w:t xml:space="preserve"> </w:t>
      </w:r>
      <w:r>
        <w:rPr>
          <w:rFonts w:hint="eastAsia"/>
        </w:rPr>
        <w:t>的</w:t>
      </w:r>
      <w:r>
        <w:t xml:space="preserve"> Brønsted </w:t>
      </w:r>
      <w:r>
        <w:rPr>
          <w:rFonts w:hint="eastAsia"/>
        </w:rPr>
        <w:t>酸位（H⁺）对</w:t>
      </w:r>
      <w:r>
        <w:t xml:space="preserve"> H₂O₂ </w:t>
      </w:r>
      <w:r>
        <w:rPr>
          <w:rFonts w:hint="eastAsia"/>
        </w:rPr>
        <w:t>的质子化是活化第一步：</w:t>
      </w:r>
    </w:p>
    <w:p w14:paraId="510D5413">
      <w:pPr>
        <w:pStyle w:val="3"/>
      </w:pPr>
      <m:oMathPara>
        <m:oMathParaPr>
          <m:jc m:val="center"/>
        </m:oMathParaPr>
        <m:oMath>
          <m:sSub>
            <m:sSubPr/>
            <m:e>
              <m:r>
                <m:rPr>
                  <m:sty m:val="p"/>
                </m:rPr>
                <m:t>H</m:t>
              </m:r>
            </m:e>
            <m:sub>
              <m:r>
                <m:rPr>
                  <m:sty m:val="p"/>
                </m:rPr>
                <m:t>3</m:t>
              </m:r>
            </m:sub>
          </m:sSub>
          <m:r>
            <m:rPr>
              <m:sty m:val="p"/>
            </m:rPr>
            <m:t>P</m:t>
          </m:r>
          <m:sSub>
            <m:sSubPr/>
            <m:e>
              <m:r>
                <m:rPr>
                  <m:sty m:val="p"/>
                </m:rPr>
                <m:t>W</m:t>
              </m:r>
            </m:e>
            <m:sub>
              <m:r>
                <m:rPr>
                  <m:sty m:val="p"/>
                </m:rPr>
                <m:t>12</m:t>
              </m:r>
            </m:sub>
          </m:sSub>
          <m:sSub>
            <m:sSubPr/>
            <m:e>
              <m:r>
                <m:rPr>
                  <m:sty m:val="p"/>
                </m:rPr>
                <m:t>O</m:t>
              </m:r>
            </m:e>
            <m:sub>
              <m:r>
                <m:rPr>
                  <m:sty m:val="p"/>
                </m:rPr>
                <m:t>40</m:t>
              </m:r>
            </m:sub>
          </m:sSub>
          <m:r>
            <m:rPr>
              <m:sty m:val="p"/>
            </m:rPr>
            <m:t>+</m:t>
          </m:r>
          <m:sSub>
            <m:sSubPr/>
            <m:e>
              <m:r>
                <m:rPr>
                  <m:sty m:val="p"/>
                </m:rPr>
                <m:t>H</m:t>
              </m:r>
            </m:e>
            <m:sub>
              <m:r>
                <m:rPr>
                  <m:sty m:val="p"/>
                </m:rPr>
                <m:t>2</m:t>
              </m:r>
            </m:sub>
          </m:sSub>
          <m:sSub>
            <m:sSubPr/>
            <m:e>
              <m:r>
                <m:rPr>
                  <m:sty m:val="p"/>
                </m:rPr>
                <m:t>O</m:t>
              </m:r>
            </m:e>
            <m:sub>
              <m:r>
                <m:rPr>
                  <m:sty m:val="p"/>
                </m:rPr>
                <m:t>2</m:t>
              </m:r>
            </m:sub>
          </m:sSub>
          <m:r>
            <m:rPr>
              <m:sty m:val="p"/>
            </m:rPr>
            <m:t>⇌[</m:t>
          </m:r>
          <m:sSub>
            <m:sSubPr/>
            <m:e>
              <m:r>
                <m:rPr>
                  <m:sty m:val="p"/>
                </m:rPr>
                <m:t>H</m:t>
              </m:r>
            </m:e>
            <m:sub>
              <m:r>
                <m:rPr>
                  <m:sty m:val="p"/>
                </m:rPr>
                <m:t>4</m:t>
              </m:r>
            </m:sub>
          </m:sSub>
          <m:r>
            <m:rPr>
              <m:sty m:val="p"/>
            </m:rPr>
            <m:t>P</m:t>
          </m:r>
          <m:sSub>
            <m:sSubPr/>
            <m:e>
              <m:r>
                <m:rPr>
                  <m:sty m:val="p"/>
                </m:rPr>
                <m:t>W</m:t>
              </m:r>
            </m:e>
            <m:sub>
              <m:r>
                <m:rPr>
                  <m:sty m:val="p"/>
                </m:rPr>
                <m:t>12</m:t>
              </m:r>
            </m:sub>
          </m:sSub>
          <m:sSub>
            <m:sSubPr/>
            <m:e>
              <m:r>
                <m:rPr>
                  <m:sty m:val="p"/>
                </m:rPr>
                <m:t>O</m:t>
              </m:r>
            </m:e>
            <m:sub>
              <m:r>
                <m:rPr>
                  <m:sty m:val="p"/>
                </m:rPr>
                <m:t>40</m:t>
              </m:r>
            </m:sub>
          </m:sSub>
          <m:sSup>
            <m:sSupPr/>
            <m:e>
              <m:r>
                <m:rPr>
                  <m:sty m:val="p"/>
                </m:rPr>
                <m:t>]</m:t>
              </m:r>
            </m:e>
            <m:sup>
              <m:r>
                <m:rPr>
                  <m:sty m:val="p"/>
                </m:rPr>
                <m:t>+</m:t>
              </m:r>
            </m:sup>
          </m:sSup>
          <m:r>
            <m:rPr>
              <m:sty m:val="p"/>
            </m:rPr>
            <m:t>+H</m:t>
          </m:r>
          <m:sSubSup>
            <m:sSubSupPr/>
            <m:e>
              <m:r>
                <m:rPr>
                  <m:sty m:val="p"/>
                </m:rPr>
                <m:t>O</m:t>
              </m:r>
            </m:e>
            <m:sub>
              <m:r>
                <m:rPr>
                  <m:sty m:val="p"/>
                </m:rPr>
                <m:t>2</m:t>
              </m:r>
            </m:sub>
            <m:sup>
              <m:r>
                <m:rPr>
                  <m:sty m:val="p"/>
                </m:rPr>
                <m:t>−</m:t>
              </m:r>
            </m:sup>
          </m:sSubSup>
        </m:oMath>
      </m:oMathPara>
    </w:p>
    <w:p w14:paraId="4D25EE72">
      <w:pPr>
        <w:pStyle w:val="23"/>
      </w:pPr>
      <w:r>
        <w:rPr>
          <w:rFonts w:hint="eastAsia"/>
        </w:rPr>
        <w:t>质子化后的</w:t>
      </w:r>
      <w:r>
        <w:t xml:space="preserve"> </w:t>
      </w:r>
      <w:r>
        <w:rPr>
          <w:rFonts w:hint="eastAsia"/>
        </w:rPr>
        <w:t>H₂O₂（H₃O₂⁺）极易异裂生成亲电性极强的·OH</w:t>
      </w:r>
      <w:r>
        <w:t xml:space="preserve"> </w:t>
      </w:r>
      <w:r>
        <w:rPr>
          <w:rFonts w:hint="eastAsia"/>
        </w:rPr>
        <w:t>自由基和</w:t>
      </w:r>
      <w:r>
        <w:t xml:space="preserve"> </w:t>
      </w:r>
      <w:r>
        <w:rPr>
          <w:rFonts w:hint="eastAsia"/>
        </w:rPr>
        <w:t>H₂O，·OH</w:t>
      </w:r>
      <w:r>
        <w:t xml:space="preserve"> </w:t>
      </w:r>
      <w:r>
        <w:rPr>
          <w:rFonts w:hint="eastAsia"/>
        </w:rPr>
        <w:t>自由基的氧化电位高达</w:t>
      </w:r>
      <w:r>
        <w:t xml:space="preserve"> 2.80 </w:t>
      </w:r>
      <w:r>
        <w:rPr>
          <w:rFonts w:hint="eastAsia"/>
        </w:rPr>
        <w:t>V（vs.</w:t>
      </w:r>
      <w:r>
        <w:t> </w:t>
      </w:r>
      <w:r>
        <w:rPr>
          <w:rFonts w:hint="eastAsia"/>
        </w:rPr>
        <w:t>SHE），是已知最强的氧化剂之一。在</w:t>
      </w:r>
      <w:r>
        <w:t xml:space="preserve"> HPA </w:t>
      </w:r>
      <w:r>
        <w:rPr>
          <w:rFonts w:hint="eastAsia"/>
        </w:rPr>
        <w:t>体系中，·OH</w:t>
      </w:r>
      <w:r>
        <w:t xml:space="preserve"> </w:t>
      </w:r>
      <w:r>
        <w:rPr>
          <w:rFonts w:hint="eastAsia"/>
        </w:rPr>
        <w:t>的生成速率受</w:t>
      </w:r>
      <w:r>
        <w:t xml:space="preserve"> pH </w:t>
      </w:r>
      <w:r>
        <w:rPr>
          <w:rFonts w:hint="eastAsia"/>
        </w:rPr>
        <w:t>值和</w:t>
      </w:r>
      <w:r>
        <w:t xml:space="preserve"> H₂O₂ </w:t>
      </w:r>
      <w:r>
        <w:rPr>
          <w:rFonts w:hint="eastAsia"/>
        </w:rPr>
        <w:t>浓度的双重调控——当</w:t>
      </w:r>
      <w:r>
        <w:t xml:space="preserve"> H₂O₂ </w:t>
      </w:r>
      <w:r>
        <w:rPr>
          <w:rFonts w:hint="eastAsia"/>
        </w:rPr>
        <w:t>过量时，·OH</w:t>
      </w:r>
      <w:r>
        <w:t xml:space="preserve"> </w:t>
      </w:r>
      <w:r>
        <w:rPr>
          <w:rFonts w:hint="eastAsia"/>
        </w:rPr>
        <w:t>之间可能发生复合反应（·OH</w:t>
      </w:r>
      <w:r>
        <w:t xml:space="preserve"> + ·OH → </w:t>
      </w:r>
      <w:r>
        <w:rPr>
          <w:rFonts w:hint="eastAsia"/>
        </w:rPr>
        <w:t>H₂O₂）而降低有效利用率，因此优化</w:t>
      </w:r>
      <w:r>
        <w:t xml:space="preserve"> </w:t>
      </w:r>
      <w:r>
        <w:rPr>
          <w:rFonts w:hint="eastAsia"/>
        </w:rPr>
        <w:t>H₂O₂/底物摩尔比是</w:t>
      </w:r>
      <w:r>
        <w:t xml:space="preserve"> HPA </w:t>
      </w:r>
      <w:r>
        <w:rPr>
          <w:rFonts w:hint="eastAsia"/>
        </w:rPr>
        <w:t>体系的关键工艺参数。</w:t>
      </w:r>
    </w:p>
    <w:p w14:paraId="60C8460A">
      <w:pPr>
        <w:pStyle w:val="3"/>
      </w:pPr>
      <w:r>
        <w:rPr>
          <w:b/>
          <w:bCs/>
        </w:rPr>
        <w:t xml:space="preserve">t-BuOOH </w:t>
      </w:r>
      <w:r>
        <w:rPr>
          <w:rFonts w:hint="eastAsia"/>
          <w:b/>
          <w:bCs/>
        </w:rPr>
        <w:t>的空间位阻调控效应。</w:t>
      </w:r>
      <w:r>
        <w:t xml:space="preserve"> </w:t>
      </w:r>
      <w:r>
        <w:rPr>
          <w:rFonts w:hint="eastAsia"/>
        </w:rPr>
        <w:t>与</w:t>
      </w:r>
      <w:r>
        <w:t xml:space="preserve"> H₂O₂ </w:t>
      </w:r>
      <w:r>
        <w:rPr>
          <w:rFonts w:hint="eastAsia"/>
        </w:rPr>
        <w:t>相比，叔丁基过氧化氢（t-BuOOH）由于其庞大的叔丁基空间位阻，在活性位上的配位模式更加可控——t-BuOOH</w:t>
      </w:r>
      <w:r>
        <w:t xml:space="preserve"> </w:t>
      </w:r>
      <w:r>
        <w:rPr>
          <w:rFonts w:hint="eastAsia"/>
        </w:rPr>
        <w:t>优先通过其过氧端与金属中心配位，生成</w:t>
      </w:r>
      <w:r>
        <w:t xml:space="preserve"> M–O–O–tBu </w:t>
      </w:r>
      <w:r>
        <w:rPr>
          <w:rFonts w:hint="eastAsia"/>
        </w:rPr>
        <w:t>中间体，该中间体的</w:t>
      </w:r>
      <w:r>
        <w:t xml:space="preserve"> O–O </w:t>
      </w:r>
      <w:r>
        <w:rPr>
          <w:rFonts w:hint="eastAsia"/>
        </w:rPr>
        <w:t>键解离能（~35</w:t>
      </w:r>
      <w:r>
        <w:t xml:space="preserve"> </w:t>
      </w:r>
      <w:r>
        <w:rPr>
          <w:rFonts w:hint="eastAsia"/>
        </w:rPr>
        <w:t>kcal·mol⁻¹）低于</w:t>
      </w:r>
      <w:r>
        <w:t xml:space="preserve"> H₂O₂ </w:t>
      </w:r>
      <w:r>
        <w:rPr>
          <w:rFonts w:hint="eastAsia"/>
        </w:rPr>
        <w:t>衍生物种（~45</w:t>
      </w:r>
      <w:r>
        <w:t xml:space="preserve"> </w:t>
      </w:r>
      <w:r>
        <w:rPr>
          <w:rFonts w:hint="eastAsia"/>
        </w:rPr>
        <w:t>kcal·mol⁻¹），因此在较低温度下即可活化。更重要的是，t-BuOOH</w:t>
      </w:r>
      <w:r>
        <w:t xml:space="preserve"> </w:t>
      </w:r>
      <w:r>
        <w:rPr>
          <w:rFonts w:hint="eastAsia"/>
        </w:rPr>
        <w:t>的庞大体积使其对含硫底物的空间选择性更为敏感：噻吩（平面分子，动力学直径</w:t>
      </w:r>
      <w:r>
        <w:t xml:space="preserve"> ~5.8 </w:t>
      </w:r>
      <w:r>
        <w:rPr>
          <w:rFonts w:hint="eastAsia"/>
        </w:rPr>
        <w:t>Å）可顺利接近被位阻屏蔽的金属中心，而</w:t>
      </w:r>
      <w:r>
        <w:t xml:space="preserve"> </w:t>
      </w:r>
      <w:r>
        <w:rPr>
          <w:rFonts w:hint="eastAsia"/>
        </w:rPr>
        <w:t>4,6-二甲基二苯并噻吩（DMDT，动力学直径</w:t>
      </w:r>
      <w:r>
        <w:t xml:space="preserve"> ~7.2 </w:t>
      </w:r>
      <w:r>
        <w:rPr>
          <w:rFonts w:hint="eastAsia"/>
        </w:rPr>
        <w:t>Å）则因空间排斥而反应速率骤降。这一空间选择性特征在分子筛限域体系中尤为显著。</w:t>
      </w:r>
    </w:p>
    <w:p w14:paraId="1AEC148B">
      <w:pPr>
        <w:pStyle w:val="3"/>
      </w:pPr>
      <w:r>
        <w:rPr>
          <w:rFonts w:hint="eastAsia"/>
          <w:b/>
          <w:bCs/>
        </w:rPr>
        <w:t>O₂/空气的自由基链式活化路径。</w:t>
      </w:r>
      <w:r>
        <w:t xml:space="preserve"> </w:t>
      </w:r>
      <w:r>
        <w:rPr>
          <w:rFonts w:hint="eastAsia"/>
        </w:rPr>
        <w:t>以分子氧为氧化剂的</w:t>
      </w:r>
      <w:r>
        <w:t xml:space="preserve"> CODS </w:t>
      </w:r>
      <w:r>
        <w:rPr>
          <w:rFonts w:hint="eastAsia"/>
        </w:rPr>
        <w:t>体系不涉及金属–过氧中间体的直接配位，而是通过金属中心（如</w:t>
      </w:r>
      <w:r>
        <w:t xml:space="preserve"> V⁵⁺/V⁴⁺、Cu²⁺/Cu⁺ </w:t>
      </w:r>
      <w:r>
        <w:rPr>
          <w:rFonts w:hint="eastAsia"/>
        </w:rPr>
        <w:t>氧化还原对）的单电子转移（SET）引发自由基链反应：</w:t>
      </w:r>
    </w:p>
    <w:p w14:paraId="38A7964C">
      <w:pPr>
        <w:pStyle w:val="3"/>
      </w:pPr>
      <m:oMathPara>
        <m:oMathParaPr>
          <m:jc m:val="center"/>
        </m:oMathParaPr>
        <m:oMath>
          <m:sSup>
            <m:sSupPr/>
            <m:e>
              <m:r>
                <m:rPr>
                  <m:sty m:val="p"/>
                </m:rPr>
                <m:t>M</m:t>
              </m:r>
            </m:e>
            <m:sup>
              <m:r>
                <m:rPr>
                  <m:sty m:val="p"/>
                </m:rPr>
                <m:t>n+</m:t>
              </m:r>
            </m:sup>
          </m:sSup>
          <m:r>
            <m:rPr>
              <m:sty m:val="p"/>
            </m:rPr>
            <m:t>+</m:t>
          </m:r>
          <m:sSub>
            <m:sSubPr/>
            <m:e>
              <m:r>
                <m:rPr>
                  <m:sty m:val="p"/>
                </m:rPr>
                <m:t>O</m:t>
              </m:r>
            </m:e>
            <m:sub>
              <m:r>
                <m:rPr>
                  <m:sty m:val="p"/>
                </m:rPr>
                <m:t>2</m:t>
              </m:r>
            </m:sub>
          </m:sSub>
          <m:r>
            <m:rPr>
              <m:sty m:val="p"/>
            </m:rPr>
            <m:t>⇌</m:t>
          </m:r>
          <m:sSup>
            <m:sSupPr/>
            <m:e>
              <m:r>
                <m:rPr>
                  <m:sty m:val="p"/>
                </m:rPr>
                <m:t>M</m:t>
              </m:r>
            </m:e>
            <m:sup>
              <m:r>
                <m:rPr>
                  <m:sty m:val="p"/>
                </m:rPr>
                <m:t>(n+1)+</m:t>
              </m:r>
            </m:sup>
          </m:sSup>
          <m:r>
            <m:rPr>
              <m:sty m:val="p"/>
            </m:rPr>
            <m:t>−</m:t>
          </m:r>
          <m:sSubSup>
            <m:sSubSupPr/>
            <m:e>
              <m:r>
                <m:rPr>
                  <m:sty m:val="p"/>
                </m:rPr>
                <m:t>O</m:t>
              </m:r>
            </m:e>
            <m:sub>
              <m:r>
                <m:rPr>
                  <m:sty m:val="p"/>
                </m:rPr>
                <m:t>2</m:t>
              </m:r>
            </m:sub>
            <m:sup>
              <m:r>
                <m:rPr>
                  <m:sty m:val="p"/>
                </m:rPr>
                <m:t>•−</m:t>
              </m:r>
            </m:sup>
          </m:sSubSup>
        </m:oMath>
      </m:oMathPara>
    </w:p>
    <w:p w14:paraId="0465FEF0">
      <w:pPr>
        <w:pStyle w:val="23"/>
      </w:pPr>
      <m:oMathPara>
        <m:oMathParaPr>
          <m:jc m:val="center"/>
        </m:oMathParaPr>
        <m:oMath>
          <m:sSup>
            <m:sSupPr/>
            <m:e>
              <m:r>
                <m:rPr>
                  <m:sty m:val="p"/>
                </m:rPr>
                <m:t>M</m:t>
              </m:r>
            </m:e>
            <m:sup>
              <m:r>
                <m:rPr>
                  <m:sty m:val="p"/>
                </m:rPr>
                <m:t>(n+1)+</m:t>
              </m:r>
            </m:sup>
          </m:sSup>
          <m:r>
            <m:rPr>
              <m:sty m:val="p"/>
            </m:rPr>
            <m:t>−</m:t>
          </m:r>
          <m:sSubSup>
            <m:sSubSupPr/>
            <m:e>
              <m:r>
                <m:rPr>
                  <m:sty m:val="p"/>
                </m:rPr>
                <m:t>O</m:t>
              </m:r>
            </m:e>
            <m:sub>
              <m:r>
                <m:rPr>
                  <m:sty m:val="p"/>
                </m:rPr>
                <m:t>2</m:t>
              </m:r>
            </m:sub>
            <m:sup>
              <m:r>
                <m:rPr>
                  <m:sty m:val="p"/>
                </m:rPr>
                <m:t>•−</m:t>
              </m:r>
            </m:sup>
          </m:sSubSup>
          <m:r>
            <m:rPr>
              <m:sty m:val="p"/>
            </m:rPr>
            <m:t>+RH→</m:t>
          </m:r>
          <m:sSup>
            <m:sSupPr/>
            <m:e>
              <m:r>
                <m:rPr>
                  <m:sty m:val="p"/>
                </m:rPr>
                <m:t>M</m:t>
              </m:r>
            </m:e>
            <m:sup>
              <m:r>
                <m:rPr>
                  <m:sty m:val="p"/>
                </m:rPr>
                <m:t>n+</m:t>
              </m:r>
            </m:sup>
          </m:sSup>
          <m:r>
            <m:rPr>
              <m:sty m:val="p"/>
            </m:rPr>
            <m:t>+RO</m:t>
          </m:r>
          <m:sSup>
            <m:sSupPr/>
            <m:e>
              <m:r>
                <m:rPr>
                  <m:sty m:val="p"/>
                </m:rPr>
                <m:t>O</m:t>
              </m:r>
            </m:e>
            <m:sup>
              <m:r>
                <m:rPr>
                  <m:sty m:val="p"/>
                </m:rPr>
                <m:t>⋅</m:t>
              </m:r>
            </m:sup>
          </m:sSup>
          <m:r>
            <m:rPr>
              <m:sty m:val="p"/>
            </m:rPr>
            <m:t>+</m:t>
          </m:r>
          <m:sSup>
            <m:sSupPr/>
            <m:e>
              <m:r>
                <m:rPr>
                  <m:sty m:val="p"/>
                </m:rPr>
                <m:t>H</m:t>
              </m:r>
            </m:e>
            <m:sup>
              <m:r>
                <m:rPr>
                  <m:sty m:val="p"/>
                </m:rPr>
                <m:t>⋅</m:t>
              </m:r>
            </m:sup>
          </m:sSup>
        </m:oMath>
      </m:oMathPara>
    </w:p>
    <w:p w14:paraId="0F2E9243">
      <w:pPr>
        <w:pStyle w:val="23"/>
      </w:pPr>
      <m:oMathPara>
        <m:oMathParaPr>
          <m:jc m:val="center"/>
        </m:oMathParaPr>
        <m:oMath>
          <m:r>
            <m:rPr>
              <m:sty m:val="p"/>
            </m:rPr>
            <m:t>RO</m:t>
          </m:r>
          <m:sSup>
            <m:sSupPr/>
            <m:e>
              <m:r>
                <m:rPr>
                  <m:sty m:val="p"/>
                </m:rPr>
                <m:t>O</m:t>
              </m:r>
            </m:e>
            <m:sup>
              <m:r>
                <m:rPr>
                  <m:sty m:val="p"/>
                </m:rPr>
                <m:t>⋅</m:t>
              </m:r>
            </m:sup>
          </m:sSup>
          <m:r>
            <m:rPr>
              <m:sty m:val="p"/>
            </m:rPr>
            <m:t>+</m:t>
          </m:r>
          <m:sSup>
            <m:sSupPr/>
            <m:e>
              <m:r>
                <m:rPr>
                  <m:sty m:val="p"/>
                </m:rPr>
                <m:t>R</m:t>
              </m:r>
            </m:e>
            <m:sup>
              <m:r>
                <m:rPr>
                  <m:sty m:val="p"/>
                </m:rPr>
                <m:t>′</m:t>
              </m:r>
            </m:sup>
          </m:sSup>
          <m:r>
            <m:rPr>
              <m:sty m:val="p"/>
            </m:rPr>
            <m:t>SH→ROOH+</m:t>
          </m:r>
          <m:sSup>
            <m:sSupPr/>
            <m:e>
              <m:r>
                <m:rPr>
                  <m:sty m:val="p"/>
                </m:rPr>
                <m:t>R</m:t>
              </m:r>
            </m:e>
            <m:sup>
              <m:r>
                <m:rPr>
                  <m:sty m:val="p"/>
                </m:rPr>
                <m:t>′</m:t>
              </m:r>
            </m:sup>
          </m:sSup>
          <m:sSup>
            <m:sSupPr/>
            <m:e>
              <m:r>
                <m:rPr>
                  <m:sty m:val="p"/>
                </m:rPr>
                <m:t>S</m:t>
              </m:r>
            </m:e>
            <m:sup>
              <m:r>
                <m:rPr>
                  <m:sty m:val="p"/>
                </m:rPr>
                <m:t>⋅</m:t>
              </m:r>
            </m:sup>
          </m:sSup>
        </m:oMath>
      </m:oMathPara>
    </w:p>
    <w:p w14:paraId="6E7BA461">
      <w:pPr>
        <w:pStyle w:val="23"/>
      </w:pPr>
      <m:oMathPara>
        <m:oMathParaPr>
          <m:jc m:val="center"/>
        </m:oMathParaPr>
        <m:oMath>
          <m:sSup>
            <m:sSupPr/>
            <m:e>
              <m:r>
                <m:rPr>
                  <m:sty m:val="p"/>
                </m:rPr>
                <m:t>R</m:t>
              </m:r>
            </m:e>
            <m:sup>
              <m:r>
                <m:rPr>
                  <m:sty m:val="p"/>
                </m:rPr>
                <m:t>′</m:t>
              </m:r>
            </m:sup>
          </m:sSup>
          <m:sSup>
            <m:sSupPr/>
            <m:e>
              <m:r>
                <m:rPr>
                  <m:sty m:val="p"/>
                </m:rPr>
                <m:t>S</m:t>
              </m:r>
            </m:e>
            <m:sup>
              <m:r>
                <m:rPr>
                  <m:sty m:val="p"/>
                </m:rPr>
                <m:t>⋅</m:t>
              </m:r>
            </m:sup>
          </m:sSup>
          <m:r>
            <m:rPr>
              <m:sty m:val="p"/>
            </m:rPr>
            <m:t>+</m:t>
          </m:r>
          <m:sSub>
            <m:sSubPr/>
            <m:e>
              <m:r>
                <m:rPr>
                  <m:sty m:val="p"/>
                </m:rPr>
                <m:t>O</m:t>
              </m:r>
            </m:e>
            <m:sub>
              <m:r>
                <m:rPr>
                  <m:sty m:val="p"/>
                </m:rPr>
                <m:t>2</m:t>
              </m:r>
            </m:sub>
          </m:sSub>
          <m:r>
            <m:rPr>
              <m:sty m:val="p"/>
            </m:rPr>
            <m:t>→</m:t>
          </m:r>
          <m:sSup>
            <m:sSupPr/>
            <m:e>
              <m:r>
                <m:rPr>
                  <m:sty m:val="p"/>
                </m:rPr>
                <m:t>R</m:t>
              </m:r>
            </m:e>
            <m:sup>
              <m:r>
                <m:rPr>
                  <m:sty m:val="p"/>
                </m:rPr>
                <m:t>′</m:t>
              </m:r>
            </m:sup>
          </m:sSup>
          <m:r>
            <m:rPr>
              <m:sty m:val="p"/>
            </m:rPr>
            <m:t>S</m:t>
          </m:r>
          <m:sSubSup>
            <m:sSubSupPr/>
            <m:e>
              <m:r>
                <m:rPr>
                  <m:sty m:val="p"/>
                </m:rPr>
                <m:t>O</m:t>
              </m:r>
            </m:e>
            <m:sub>
              <m:r>
                <m:rPr>
                  <m:sty m:val="p"/>
                </m:rPr>
                <m:t>2</m:t>
              </m:r>
            </m:sub>
            <m:sup>
              <m:r>
                <m:rPr>
                  <m:sty m:val="p"/>
                </m:rPr>
                <m:t>⋅</m:t>
              </m:r>
            </m:sup>
          </m:sSubSup>
          <m:r>
            <m:rPr>
              <m:sty m:val="p"/>
            </m:rPr>
            <m:t>→</m:t>
          </m:r>
          <m:sSup>
            <m:sSupPr/>
            <m:e>
              <m:r>
                <m:rPr>
                  <m:sty m:val="p"/>
                </m:rPr>
                <m:t>R</m:t>
              </m:r>
            </m:e>
            <m:sup>
              <m:r>
                <m:rPr>
                  <m:sty m:val="p"/>
                </m:rPr>
                <m:t>′</m:t>
              </m:r>
            </m:sup>
          </m:sSup>
          <m:r>
            <m:rPr>
              <m:sty m:val="p"/>
            </m:rPr>
            <m:t>S</m:t>
          </m:r>
          <m:sSub>
            <m:sSubPr/>
            <m:e>
              <m:r>
                <m:rPr>
                  <m:sty m:val="p"/>
                </m:rPr>
                <m:t>O</m:t>
              </m:r>
            </m:e>
            <m:sub>
              <m:r>
                <m:rPr>
                  <m:sty m:val="p"/>
                </m:rPr>
                <m:t>2</m:t>
              </m:r>
            </m:sub>
          </m:sSub>
          <m:r>
            <m:rPr>
              <m:sty m:val="p"/>
            </m:rPr>
            <m:t>H→</m:t>
          </m:r>
          <m:sSup>
            <m:sSupPr/>
            <m:e>
              <m:r>
                <m:rPr>
                  <m:sty m:val="p"/>
                </m:rPr>
                <m:t>R</m:t>
              </m:r>
            </m:e>
            <m:sup>
              <m:r>
                <m:rPr>
                  <m:sty m:val="p"/>
                </m:rPr>
                <m:t>′</m:t>
              </m:r>
            </m:sup>
          </m:sSup>
          <m:r>
            <m:rPr>
              <m:sty m:val="p"/>
            </m:rPr>
            <m:t>S</m:t>
          </m:r>
          <m:sSub>
            <m:sSubPr/>
            <m:e>
              <m:r>
                <m:rPr>
                  <m:sty m:val="p"/>
                </m:rPr>
                <m:t>O</m:t>
              </m:r>
            </m:e>
            <m:sub>
              <m:r>
                <m:rPr>
                  <m:sty m:val="p"/>
                </m:rPr>
                <m:t>2</m:t>
              </m:r>
            </m:sub>
          </m:sSub>
          <m:sSup>
            <m:sSupPr/>
            <m:e>
              <m:r>
                <m:rPr>
                  <m:sty m:val="p"/>
                </m:rPr>
                <m:t>R</m:t>
              </m:r>
            </m:e>
            <m:sup>
              <m:r>
                <m:rPr>
                  <m:sty m:val="p"/>
                </m:rPr>
                <m:t>′</m:t>
              </m:r>
            </m:sup>
          </m:sSup>
        </m:oMath>
      </m:oMathPara>
    </w:p>
    <w:p w14:paraId="4E9D9FFE">
      <w:pPr>
        <w:pStyle w:val="23"/>
      </w:pPr>
      <w:r>
        <w:rPr>
          <w:rFonts w:hint="eastAsia"/>
        </w:rPr>
        <w:t>该链式机理涉及超氧阴离子（O₂•⁻）、烷氧自由基（ROO•）和硫自由基（R’S•）等多种活性中间体。其中，引发速率决定步骤（RDS）是</w:t>
      </w:r>
      <w:r>
        <w:t xml:space="preserve"> O₂ </w:t>
      </w:r>
      <w:r>
        <w:rPr>
          <w:rFonts w:hint="eastAsia"/>
        </w:rPr>
        <w:t>在金属位点上的单电子还原，其活化能垒取决于金属中心的还原电位。V₂O₅/TiO₂</w:t>
      </w:r>
      <w:r>
        <w:t xml:space="preserve"> </w:t>
      </w:r>
      <w:r>
        <w:rPr>
          <w:rFonts w:hint="eastAsia"/>
        </w:rPr>
        <w:t>体系因</w:t>
      </w:r>
      <w:r>
        <w:t xml:space="preserve"> V⁵⁺/V⁴⁺ </w:t>
      </w:r>
      <w:r>
        <w:rPr>
          <w:rFonts w:hint="eastAsia"/>
        </w:rPr>
        <w:t>氧化还原对的适中电位（E°</w:t>
      </w:r>
      <w:r>
        <w:t xml:space="preserve"> ≈ 1.0 V vs. </w:t>
      </w:r>
      <w:r>
        <w:rPr>
          <w:rFonts w:hint="eastAsia"/>
        </w:rPr>
        <w:t>SHE）而被认为是</w:t>
      </w:r>
      <w:r>
        <w:t xml:space="preserve"> O₂ </w:t>
      </w:r>
      <w:r>
        <w:rPr>
          <w:rFonts w:hint="eastAsia"/>
        </w:rPr>
        <w:t>活化效率最高的体系之一。</w:t>
      </w:r>
    </w:p>
    <w:bookmarkEnd w:id="7"/>
    <w:p w14:paraId="27E649BB">
      <w:pPr>
        <w:pStyle w:val="5"/>
      </w:pPr>
      <w:bookmarkStart w:id="8" w:name="单分子反应动力学吸附构型过渡态与亲电进攻路径"/>
      <w:r>
        <w:t xml:space="preserve">2.3 </w:t>
      </w:r>
      <w:r>
        <w:rPr>
          <w:rFonts w:hint="eastAsia"/>
        </w:rPr>
        <w:t>单分子反应动力学：吸附构型、过渡态与亲电进攻路径</w:t>
      </w:r>
    </w:p>
    <w:p w14:paraId="102960F9">
      <w:pPr>
        <w:pStyle w:val="23"/>
      </w:pPr>
      <w:r>
        <w:rPr>
          <w:rFonts w:hint="eastAsia"/>
        </w:rPr>
        <w:t>在明确了活性中心和氧化剂的微观结构后，本节从单分子层面解析含硫底物在活性位上的吸附–反应动力学。以噻吩（Thiophene,</w:t>
      </w:r>
      <w:r>
        <w:t xml:space="preserve"> </w:t>
      </w:r>
      <w:r>
        <w:rPr>
          <w:rFonts w:hint="eastAsia"/>
        </w:rPr>
        <w:t>Th）在</w:t>
      </w:r>
      <w:r>
        <w:t xml:space="preserve"> WOₓ/SiO₂ </w:t>
      </w:r>
      <w:r>
        <w:rPr>
          <w:rFonts w:hint="eastAsia"/>
        </w:rPr>
        <w:t>催化剂上的</w:t>
      </w:r>
      <w:r>
        <w:t xml:space="preserve"> H₂O₂ </w:t>
      </w:r>
      <w:r>
        <w:rPr>
          <w:rFonts w:hint="eastAsia"/>
        </w:rPr>
        <w:t>氧化为例，该过程可分解为三个基元步骤：</w:t>
      </w:r>
    </w:p>
    <w:p w14:paraId="3E474F0E">
      <w:pPr>
        <w:pStyle w:val="3"/>
      </w:pPr>
      <w:r>
        <w:rPr>
          <w:b/>
          <w:bCs/>
        </w:rPr>
        <w:t xml:space="preserve">Step </w:t>
      </w:r>
      <w:r>
        <w:rPr>
          <w:rFonts w:hint="eastAsia"/>
          <w:b/>
          <w:bCs/>
        </w:rPr>
        <w:t>1：噻吩在</w:t>
      </w:r>
      <w:r>
        <w:rPr>
          <w:b/>
          <w:bCs/>
        </w:rPr>
        <w:t xml:space="preserve"> W=O </w:t>
      </w:r>
      <w:r>
        <w:rPr>
          <w:rFonts w:hint="eastAsia"/>
          <w:b/>
          <w:bCs/>
        </w:rPr>
        <w:t>位点上的预吸附。</w:t>
      </w:r>
      <w:r>
        <w:t xml:space="preserve"> </w:t>
      </w:r>
      <w:r>
        <w:rPr>
          <w:rFonts w:hint="eastAsia"/>
        </w:rPr>
        <w:t>噻吩分子通过其硫原子的孤对电子与表面</w:t>
      </w:r>
      <w:r>
        <w:t xml:space="preserve"> W=O </w:t>
      </w:r>
      <w:r>
        <w:rPr>
          <w:rFonts w:hint="eastAsia"/>
        </w:rPr>
        <w:t>位点的</w:t>
      </w:r>
      <w:r>
        <w:t xml:space="preserve"> W </w:t>
      </w:r>
      <w:r>
        <w:rPr>
          <w:rFonts w:hint="eastAsia"/>
        </w:rPr>
        <w:t>中心发生配位吸附，形成</w:t>
      </w:r>
      <w:r>
        <w:t xml:space="preserve"> </w:t>
      </w:r>
      <w:r>
        <w:rPr>
          <w:rFonts w:hint="eastAsia"/>
        </w:rPr>
        <w:t>η¹(S)-配位构型。DFT</w:t>
      </w:r>
      <w:r>
        <w:t xml:space="preserve"> </w:t>
      </w:r>
      <w:r>
        <w:rPr>
          <w:rFonts w:hint="eastAsia"/>
        </w:rPr>
        <w:t>计算表明，噻吩–W</w:t>
      </w:r>
      <w:r>
        <w:t xml:space="preserve"> </w:t>
      </w:r>
      <w:r>
        <w:rPr>
          <w:rFonts w:hint="eastAsia"/>
        </w:rPr>
        <w:t>配位键的结合能约为</w:t>
      </w:r>
      <w:r>
        <w:t xml:space="preserve"> –15 </w:t>
      </w:r>
      <w:r>
        <w:rPr>
          <w:rFonts w:hint="eastAsia"/>
        </w:rPr>
        <w:t>至</w:t>
      </w:r>
      <w:r>
        <w:t xml:space="preserve"> –25 </w:t>
      </w:r>
      <w:r>
        <w:rPr>
          <w:rFonts w:hint="eastAsia"/>
        </w:rPr>
        <w:t>kJ·mol⁻¹（取决于载体极性和相邻钨物种的缩聚程度），吸附构型中噻吩环平面与</w:t>
      </w:r>
      <w:r>
        <w:t xml:space="preserve"> W=O </w:t>
      </w:r>
      <w:r>
        <w:rPr>
          <w:rFonts w:hint="eastAsia"/>
        </w:rPr>
        <w:t>键轴呈</w:t>
      </w:r>
      <w:r>
        <w:t xml:space="preserve"> ~30°–60° </w:t>
      </w:r>
      <w:r>
        <w:rPr>
          <w:rFonts w:hint="eastAsia"/>
        </w:rPr>
        <w:t>的倾斜角，以使硫原子的孤对电子轨道最大化地指向</w:t>
      </w:r>
      <w:r>
        <w:t xml:space="preserve"> W </w:t>
      </w:r>
      <w:r>
        <w:rPr>
          <w:rFonts w:hint="eastAsia"/>
        </w:rPr>
        <w:t>中心的空</w:t>
      </w:r>
      <w:r>
        <w:t xml:space="preserve"> d </w:t>
      </w:r>
      <w:r>
        <w:rPr>
          <w:rFonts w:hint="eastAsia"/>
        </w:rPr>
        <w:t>轨道。</w:t>
      </w:r>
    </w:p>
    <w:p w14:paraId="31697FC7">
      <w:pPr>
        <w:pStyle w:val="3"/>
      </w:pPr>
      <w:r>
        <w:rPr>
          <w:b/>
          <w:bCs/>
        </w:rPr>
        <w:t xml:space="preserve">Step </w:t>
      </w:r>
      <w:r>
        <w:rPr>
          <w:rFonts w:hint="eastAsia"/>
          <w:b/>
          <w:bCs/>
        </w:rPr>
        <w:t>2：过氧亲电进攻与</w:t>
      </w:r>
      <w:r>
        <w:rPr>
          <w:b/>
          <w:bCs/>
        </w:rPr>
        <w:t xml:space="preserve"> C–S </w:t>
      </w:r>
      <w:r>
        <w:rPr>
          <w:rFonts w:hint="eastAsia"/>
          <w:b/>
          <w:bCs/>
        </w:rPr>
        <w:t>键极化。</w:t>
      </w:r>
      <w:r>
        <w:t xml:space="preserve"> </w:t>
      </w:r>
      <w:r>
        <w:rPr>
          <w:rFonts w:hint="eastAsia"/>
        </w:rPr>
        <w:t>表面</w:t>
      </w:r>
      <w:r>
        <w:t xml:space="preserve"> W–OOH </w:t>
      </w:r>
      <w:r>
        <w:rPr>
          <w:rFonts w:hint="eastAsia"/>
        </w:rPr>
        <w:t>物种中的末端氧原子作为亲电中心，向噻吩硫原子的孤对电子发起进攻，经过一个四中心过渡态（TS），形成环氧化中间体——噻吩</w:t>
      </w:r>
      <w:r>
        <w:t xml:space="preserve"> </w:t>
      </w:r>
      <w:r>
        <w:rPr>
          <w:rFonts w:hint="eastAsia"/>
        </w:rPr>
        <w:t>S-氧化物（thiopyran</w:t>
      </w:r>
      <w:r>
        <w:t xml:space="preserve"> </w:t>
      </w:r>
      <w:r>
        <w:rPr>
          <w:rFonts w:hint="eastAsia"/>
        </w:rPr>
        <w:t>S-oxide）：</w:t>
      </w:r>
    </w:p>
    <w:p w14:paraId="6C89656F">
      <w:pPr>
        <w:pStyle w:val="3"/>
      </w:pPr>
      <m:oMathPara>
        <m:oMathParaPr>
          <m:jc m:val="center"/>
        </m:oMathParaPr>
        <m:oMath>
          <m:r>
            <m:rPr>
              <m:sty m:val="p"/>
            </m:rPr>
            <m:t>W−O−O−H+</m:t>
          </m:r>
          <m:sSub>
            <m:sSubPr/>
            <m:e>
              <m:r>
                <m:rPr>
                  <m:sty m:val="p"/>
                </m:rPr>
                <m:t>C</m:t>
              </m:r>
            </m:e>
            <m:sub>
              <m:r>
                <m:rPr>
                  <m:sty m:val="p"/>
                </m:rPr>
                <m:t>4</m:t>
              </m:r>
            </m:sub>
          </m:sSub>
          <m:sSub>
            <m:sSubPr/>
            <m:e>
              <m:r>
                <m:rPr>
                  <m:sty m:val="p"/>
                </m:rPr>
                <m:t>H</m:t>
              </m:r>
            </m:e>
            <m:sub>
              <m:r>
                <m:rPr>
                  <m:sty m:val="p"/>
                </m:rPr>
                <m:t>4</m:t>
              </m:r>
            </m:sub>
          </m:sSub>
          <m:r>
            <m:rPr>
              <m:sty m:val="p"/>
            </m:rPr>
            <m:t>S→[TS]→W−OH+</m:t>
          </m:r>
          <m:sSub>
            <m:sSubPr/>
            <m:e>
              <m:r>
                <m:rPr>
                  <m:sty m:val="p"/>
                </m:rPr>
                <m:t>C</m:t>
              </m:r>
            </m:e>
            <m:sub>
              <m:r>
                <m:rPr>
                  <m:sty m:val="p"/>
                </m:rPr>
                <m:t>4</m:t>
              </m:r>
            </m:sub>
          </m:sSub>
          <m:sSub>
            <m:sSubPr/>
            <m:e>
              <m:r>
                <m:rPr>
                  <m:sty m:val="p"/>
                </m:rPr>
                <m:t>H</m:t>
              </m:r>
            </m:e>
            <m:sub>
              <m:r>
                <m:rPr>
                  <m:sty m:val="p"/>
                </m:rPr>
                <m:t>4</m:t>
              </m:r>
            </m:sub>
          </m:sSub>
          <m:r>
            <m:rPr>
              <m:sty m:val="p"/>
            </m:rPr>
            <m:t>S(O)</m:t>
          </m:r>
        </m:oMath>
      </m:oMathPara>
    </w:p>
    <w:p w14:paraId="51445AE1">
      <w:pPr>
        <w:pStyle w:val="23"/>
      </w:pPr>
      <w:r>
        <w:rPr>
          <w:rFonts w:hint="eastAsia"/>
        </w:rPr>
        <w:t>过渡态的结构特征为：亲电氧原子与硫原子之间的距离（d_O–S）约为</w:t>
      </w:r>
      <w:r>
        <w:t xml:space="preserve"> 2.0–2.3 </w:t>
      </w:r>
      <w:r>
        <w:rPr>
          <w:rFonts w:hint="eastAsia"/>
        </w:rPr>
        <w:t>Å（介于范德华接触和共价键之间），同时</w:t>
      </w:r>
      <w:r>
        <w:t xml:space="preserve"> O–O </w:t>
      </w:r>
      <w:r>
        <w:rPr>
          <w:rFonts w:hint="eastAsia"/>
        </w:rPr>
        <w:t>键被拉长至</w:t>
      </w:r>
      <w:r>
        <w:t xml:space="preserve"> ~1.45 </w:t>
      </w:r>
      <w:r>
        <w:rPr>
          <w:rFonts w:hint="eastAsia"/>
        </w:rPr>
        <w:t>Å（H₂O₂</w:t>
      </w:r>
      <w:r>
        <w:t xml:space="preserve"> </w:t>
      </w:r>
      <w:r>
        <w:rPr>
          <w:rFonts w:hint="eastAsia"/>
        </w:rPr>
        <w:t>自由态为</w:t>
      </w:r>
      <w:r>
        <w:t xml:space="preserve"> 1.48 </w:t>
      </w:r>
      <w:r>
        <w:rPr>
          <w:rFonts w:hint="eastAsia"/>
        </w:rPr>
        <w:t>Å，但键级已显著降低），表明</w:t>
      </w:r>
      <w:r>
        <w:t xml:space="preserve"> O–O </w:t>
      </w:r>
      <w:r>
        <w:rPr>
          <w:rFonts w:hint="eastAsia"/>
        </w:rPr>
        <w:t>键的断裂与</w:t>
      </w:r>
      <w:r>
        <w:t xml:space="preserve"> S–O </w:t>
      </w:r>
      <w:r>
        <w:rPr>
          <w:rFonts w:hint="eastAsia"/>
        </w:rPr>
        <w:t>键的形成在</w:t>
      </w:r>
      <w:r>
        <w:t xml:space="preserve"> TS </w:t>
      </w:r>
      <w:r>
        <w:rPr>
          <w:rFonts w:hint="eastAsia"/>
        </w:rPr>
        <w:t>中同步进行。DFT</w:t>
      </w:r>
      <w:r>
        <w:t xml:space="preserve"> </w:t>
      </w:r>
      <w:r>
        <w:rPr>
          <w:rFonts w:hint="eastAsia"/>
        </w:rPr>
        <w:t>计算（B3LYP/6-311+G(d,p)</w:t>
      </w:r>
      <w:r>
        <w:t xml:space="preserve"> </w:t>
      </w:r>
      <w:r>
        <w:rPr>
          <w:rFonts w:hint="eastAsia"/>
        </w:rPr>
        <w:t>水平）给出的该步骤活化能垒为</w:t>
      </w:r>
      <w:r>
        <w:t xml:space="preserve"> 45–75 </w:t>
      </w:r>
      <w:r>
        <w:rPr>
          <w:rFonts w:hint="eastAsia"/>
        </w:rPr>
        <w:t>kJ·mol⁻¹，是整个反应的动力学决速步。</w:t>
      </w:r>
    </w:p>
    <w:p w14:paraId="66CE2676">
      <w:pPr>
        <w:pStyle w:val="3"/>
      </w:pPr>
      <w:r>
        <w:rPr>
          <w:b/>
          <w:bCs/>
        </w:rPr>
        <w:t xml:space="preserve">Step </w:t>
      </w:r>
      <w:r>
        <w:rPr>
          <w:rFonts w:hint="eastAsia"/>
          <w:b/>
          <w:bCs/>
        </w:rPr>
        <w:t>3：S-氧化物向亚砜/砜的进一步氧化。</w:t>
      </w:r>
      <w:r>
        <w:t xml:space="preserve"> </w:t>
      </w:r>
      <w:r>
        <w:rPr>
          <w:rFonts w:hint="eastAsia"/>
        </w:rPr>
        <w:t>噻吩</w:t>
      </w:r>
      <w:r>
        <w:t xml:space="preserve"> </w:t>
      </w:r>
      <w:r>
        <w:rPr>
          <w:rFonts w:hint="eastAsia"/>
        </w:rPr>
        <w:t>S-氧化物（亚砜态）可进一步与第二个</w:t>
      </w:r>
      <w:r>
        <w:t xml:space="preserve"> W–OOH </w:t>
      </w:r>
      <w:r>
        <w:rPr>
          <w:rFonts w:hint="eastAsia"/>
        </w:rPr>
        <w:t>物种反应，生成噻吩砜（sulfoxide</w:t>
      </w:r>
      <w:r>
        <w:t xml:space="preserve"> → </w:t>
      </w:r>
      <w:r>
        <w:rPr>
          <w:rFonts w:hint="eastAsia"/>
        </w:rPr>
        <w:t>sulfone）：</w:t>
      </w:r>
    </w:p>
    <w:p w14:paraId="1241DF0E">
      <w:pPr>
        <w:pStyle w:val="3"/>
      </w:pPr>
      <m:oMathPara>
        <m:oMathParaPr>
          <m:jc m:val="center"/>
        </m:oMathParaPr>
        <m:oMath>
          <m:sSub>
            <m:sSubPr/>
            <m:e>
              <m:r>
                <m:rPr>
                  <m:sty m:val="p"/>
                </m:rPr>
                <m:t>C</m:t>
              </m:r>
            </m:e>
            <m:sub>
              <m:r>
                <m:rPr>
                  <m:sty m:val="p"/>
                </m:rPr>
                <m:t>4</m:t>
              </m:r>
            </m:sub>
          </m:sSub>
          <m:sSub>
            <m:sSubPr/>
            <m:e>
              <m:r>
                <m:rPr>
                  <m:sty m:val="p"/>
                </m:rPr>
                <m:t>H</m:t>
              </m:r>
            </m:e>
            <m:sub>
              <m:r>
                <m:rPr>
                  <m:sty m:val="p"/>
                </m:rPr>
                <m:t>4</m:t>
              </m:r>
            </m:sub>
          </m:sSub>
          <m:r>
            <m:rPr>
              <m:sty m:val="p"/>
            </m:rPr>
            <m:t>S(O)+W−O−O−H→</m:t>
          </m:r>
          <m:sSub>
            <m:sSubPr/>
            <m:e>
              <m:r>
                <m:rPr>
                  <m:sty m:val="p"/>
                </m:rPr>
                <m:t>C</m:t>
              </m:r>
            </m:e>
            <m:sub>
              <m:r>
                <m:rPr>
                  <m:sty m:val="p"/>
                </m:rPr>
                <m:t>4</m:t>
              </m:r>
            </m:sub>
          </m:sSub>
          <m:sSub>
            <m:sSubPr/>
            <m:e>
              <m:r>
                <m:rPr>
                  <m:sty m:val="p"/>
                </m:rPr>
                <m:t>H</m:t>
              </m:r>
            </m:e>
            <m:sub>
              <m:r>
                <m:rPr>
                  <m:sty m:val="p"/>
                </m:rPr>
                <m:t>4</m:t>
              </m:r>
            </m:sub>
          </m:sSub>
          <m:r>
            <m:rPr>
              <m:sty m:val="p"/>
            </m:rPr>
            <m:t>S</m:t>
          </m:r>
          <m:sSub>
            <m:sSubPr/>
            <m:e>
              <m:r>
                <m:rPr>
                  <m:sty m:val="p"/>
                </m:rPr>
                <m:t>O</m:t>
              </m:r>
            </m:e>
            <m:sub>
              <m:r>
                <m:rPr>
                  <m:sty m:val="p"/>
                </m:rPr>
                <m:t>2</m:t>
              </m:r>
            </m:sub>
          </m:sSub>
          <m:r>
            <m:rPr>
              <m:sty m:val="p"/>
            </m:rPr>
            <m:t>+W−OH</m:t>
          </m:r>
        </m:oMath>
      </m:oMathPara>
    </w:p>
    <w:p w14:paraId="503261CC">
      <w:pPr>
        <w:pStyle w:val="23"/>
      </w:pPr>
      <w:r>
        <w:rPr>
          <w:rFonts w:hint="eastAsia"/>
        </w:rPr>
        <w:t>第二步氧化的能垒通常低于第一步（~30–55</w:t>
      </w:r>
      <w:r>
        <w:t xml:space="preserve"> </w:t>
      </w:r>
      <w:r>
        <w:rPr>
          <w:rFonts w:hint="eastAsia"/>
        </w:rPr>
        <w:t>kJ·mol⁻¹），因为</w:t>
      </w:r>
      <w:r>
        <w:t xml:space="preserve"> </w:t>
      </w:r>
      <w:r>
        <w:rPr>
          <w:rFonts w:hint="eastAsia"/>
        </w:rPr>
        <w:t>S-氧化物中硫原子的电子云密度已因第一个</w:t>
      </w:r>
      <w:r>
        <w:t xml:space="preserve"> S–O </w:t>
      </w:r>
      <w:r>
        <w:rPr>
          <w:rFonts w:hint="eastAsia"/>
        </w:rPr>
        <w:t>键的形成而降低，使其更容易受到第二个亲电氧的进攻。实验观察表明，在</w:t>
      </w:r>
      <w:r>
        <w:t xml:space="preserve"> H₂O₂ </w:t>
      </w:r>
      <w:r>
        <w:rPr>
          <w:rFonts w:hint="eastAsia"/>
        </w:rPr>
        <w:t>过量的条件下，噻吩的最终氧化产物几乎全部为噻吩砜（ThO₂），仅有痕量的噻吩亚砜（ThO）残留。</w:t>
      </w:r>
    </w:p>
    <w:p w14:paraId="398B7A65">
      <w:pPr>
        <w:pStyle w:val="3"/>
      </w:pPr>
      <w:r>
        <w:rPr>
          <w:rFonts w:hint="eastAsia"/>
          <w:b/>
          <w:bCs/>
        </w:rPr>
        <w:t>取代噻吩的动力学差异。</w:t>
      </w:r>
      <w:r>
        <w:t xml:space="preserve"> </w:t>
      </w:r>
      <w:r>
        <w:rPr>
          <w:rFonts w:hint="eastAsia"/>
        </w:rPr>
        <w:t>苯并噻吩（BTH）和二苯并噻吩（DBT）的氧化动力学遵循相同的基本路径，但因共轭程度的递增而表现出不同的能垒趋势。噻吩环上引入苯环后，硫原子的电子云密度因苯环的吸电子共轭效应（–M</w:t>
      </w:r>
      <w:r>
        <w:t xml:space="preserve"> </w:t>
      </w:r>
      <w:r>
        <w:rPr>
          <w:rFonts w:hint="eastAsia"/>
        </w:rPr>
        <w:t>效应）而降低，使得亲电进攻的能垒升高：噻吩（ΔE_a</w:t>
      </w:r>
      <w:r>
        <w:t xml:space="preserve"> ≈ 50 </w:t>
      </w:r>
      <w:r>
        <w:rPr>
          <w:rFonts w:hint="eastAsia"/>
        </w:rPr>
        <w:t>kJ·mol⁻¹）&lt;</w:t>
      </w:r>
      <w:r>
        <w:t xml:space="preserve"> </w:t>
      </w:r>
      <w:r>
        <w:rPr>
          <w:rFonts w:hint="eastAsia"/>
        </w:rPr>
        <w:t>苯并噻吩（ΔE_a</w:t>
      </w:r>
      <w:r>
        <w:t xml:space="preserve"> ≈ 65 </w:t>
      </w:r>
      <w:r>
        <w:rPr>
          <w:rFonts w:hint="eastAsia"/>
        </w:rPr>
        <w:t>kJ·mol⁻¹）&lt;</w:t>
      </w:r>
      <w:r>
        <w:t xml:space="preserve"> </w:t>
      </w:r>
      <w:r>
        <w:rPr>
          <w:rFonts w:hint="eastAsia"/>
        </w:rPr>
        <w:t>二苯并噻吩（ΔE_a</w:t>
      </w:r>
      <w:r>
        <w:t xml:space="preserve"> ≈ 80 </w:t>
      </w:r>
      <w:r>
        <w:rPr>
          <w:rFonts w:hint="eastAsia"/>
        </w:rPr>
        <w:t>kJ·mol⁻¹）。然而，4,6-二甲基二苯并噻吩（DMDT）的情况更为复杂——甲基的给电子诱导效应（+I）部分抵消了苯环的吸电子共轭效应，使</w:t>
      </w:r>
      <w:r>
        <w:t xml:space="preserve"> C4 </w:t>
      </w:r>
      <w:r>
        <w:rPr>
          <w:rFonts w:hint="eastAsia"/>
        </w:rPr>
        <w:t>和</w:t>
      </w:r>
      <w:r>
        <w:t xml:space="preserve"> C6 </w:t>
      </w:r>
      <w:r>
        <w:rPr>
          <w:rFonts w:hint="eastAsia"/>
        </w:rPr>
        <w:t>位硫原子的电子云密度回升，但同时引入了严重的空间位阻，导致其实际氧化速率在某些体系中反而高于未取代的</w:t>
      </w:r>
      <w:r>
        <w:t xml:space="preserve"> </w:t>
      </w:r>
      <w:r>
        <w:rPr>
          <w:rFonts w:hint="eastAsia"/>
        </w:rPr>
        <w:t>DBT。这一”电子效应</w:t>
      </w:r>
      <w:r>
        <w:t xml:space="preserve"> vs </w:t>
      </w:r>
      <w:r>
        <w:rPr>
          <w:rFonts w:hint="eastAsia"/>
        </w:rPr>
        <w:t>位阻效应”的竞争关系是</w:t>
      </w:r>
      <w:r>
        <w:t xml:space="preserve"> CODS </w:t>
      </w:r>
      <w:r>
        <w:rPr>
          <w:rFonts w:hint="eastAsia"/>
        </w:rPr>
        <w:t>催化剂分子设计中的核心考量因素。</w:t>
      </w:r>
    </w:p>
    <w:p w14:paraId="45EC7C27">
      <w:pPr>
        <w:pStyle w:val="3"/>
      </w:pPr>
      <w:r>
        <w:rPr>
          <w:rFonts w:hint="eastAsia"/>
          <w:b/>
          <w:bCs/>
        </w:rPr>
        <w:t>含氮化合物的竞争吸附动力学。</w:t>
      </w:r>
      <w:r>
        <w:t xml:space="preserve"> </w:t>
      </w:r>
      <w:r>
        <w:rPr>
          <w:rFonts w:hint="eastAsia"/>
        </w:rPr>
        <w:t>吡啶等碱性氮化物在</w:t>
      </w:r>
      <w:r>
        <w:t xml:space="preserve"> W=O </w:t>
      </w:r>
      <w:r>
        <w:rPr>
          <w:rFonts w:hint="eastAsia"/>
        </w:rPr>
        <w:t>位点上的吸附以</w:t>
      </w:r>
      <w:r>
        <w:t xml:space="preserve"> N→W </w:t>
      </w:r>
      <w:r>
        <w:rPr>
          <w:rFonts w:hint="eastAsia"/>
        </w:rPr>
        <w:t>配位模式进行，其吸附能（–40</w:t>
      </w:r>
      <w:r>
        <w:t xml:space="preserve"> </w:t>
      </w:r>
      <w:r>
        <w:rPr>
          <w:rFonts w:hint="eastAsia"/>
        </w:rPr>
        <w:t>至</w:t>
      </w:r>
      <w:r>
        <w:t xml:space="preserve"> –60 </w:t>
      </w:r>
      <w:r>
        <w:rPr>
          <w:rFonts w:hint="eastAsia"/>
        </w:rPr>
        <w:t>kJ·mol⁻¹）显著强于噻吩（–15</w:t>
      </w:r>
      <w:r>
        <w:t xml:space="preserve"> </w:t>
      </w:r>
      <w:r>
        <w:rPr>
          <w:rFonts w:hint="eastAsia"/>
        </w:rPr>
        <w:t>至</w:t>
      </w:r>
      <w:r>
        <w:t xml:space="preserve"> –25 </w:t>
      </w:r>
      <w:r>
        <w:rPr>
          <w:rFonts w:hint="eastAsia"/>
        </w:rPr>
        <w:t>kJ·mol⁻¹）。这意味着在硫/氮共存体系中，氮化物将优先占据大部分活性位点，导致硫化物的有效吸附浓度骤降。这一竞争吸附现象是含氮体系氧化脱硫效率大幅下降的根本原因，将在第三部分深入讨论。</w:t>
      </w:r>
    </w:p>
    <w:p w14:paraId="58974896"/>
    <w:p w14:paraId="55C17353"/>
    <w:p w14:paraId="021899C8"/>
    <w:p w14:paraId="4223F45D"/>
    <w:p w14:paraId="7C2A97FC"/>
    <w:p w14:paraId="29FE3B81"/>
    <w:p w14:paraId="433B255D"/>
    <w:p w14:paraId="476794C9"/>
    <w:p w14:paraId="05615E45"/>
    <w:p w14:paraId="377B7301"/>
    <w:p w14:paraId="44AA9EED"/>
    <w:p w14:paraId="2F61B9E4"/>
    <w:p w14:paraId="51C202E3"/>
    <w:p w14:paraId="71BF1BD9"/>
    <w:p w14:paraId="0B9B0636"/>
    <w:p w14:paraId="22A1CC8D"/>
    <w:p w14:paraId="28C660EA"/>
    <w:p w14:paraId="7320DC1F"/>
    <w:p w14:paraId="7AFE9E15"/>
    <w:p w14:paraId="36291A5D"/>
    <w:bookmarkEnd w:id="2"/>
    <w:bookmarkEnd w:id="8"/>
    <w:p w14:paraId="2E60DEAF">
      <w:pPr>
        <w:pStyle w:val="4"/>
      </w:pPr>
      <w:bookmarkStart w:id="9" w:name="三-从单分子到真实油品多元硫氮共转化网络与竞争机制"/>
      <w:r>
        <w:rPr>
          <w:rFonts w:hint="eastAsia"/>
        </w:rPr>
        <w:t>三、</w:t>
      </w:r>
      <w:r>
        <w:t xml:space="preserve"> </w:t>
      </w:r>
      <w:r>
        <w:rPr>
          <w:rFonts w:hint="eastAsia"/>
        </w:rPr>
        <w:t>从单分子到真实油品：多元硫/氮共转化网络与竞争机制</w:t>
      </w:r>
    </w:p>
    <w:p w14:paraId="5C93F82E">
      <w:pPr>
        <w:pStyle w:val="23"/>
      </w:pPr>
      <w:r>
        <w:rPr>
          <w:rFonts w:hint="eastAsia"/>
        </w:rPr>
        <w:t>单分子层面的氧化机制研究为理解</w:t>
      </w:r>
      <w:r>
        <w:t xml:space="preserve"> CODS </w:t>
      </w:r>
      <w:r>
        <w:rPr>
          <w:rFonts w:hint="eastAsia"/>
        </w:rPr>
        <w:t>过程提供了微观基础，但煤制气副产轻烃并非简单的模型化合物溶液，而是包含数十种硫化物、氮化物、烯烃、芳烃及微量水分的复杂混合物。在这一真实基质中，不同组分之间的竞争吸附、交叉氧化和基质效应将单分子反应路径编织成一个高度交织的”共转化网络”（Co-conversion</w:t>
      </w:r>
      <w:r>
        <w:t xml:space="preserve"> </w:t>
      </w:r>
      <w:r>
        <w:rPr>
          <w:rFonts w:hint="eastAsia"/>
        </w:rPr>
        <w:t>Network）。本节从同质竞争、异质干扰和真实基质效应三个维度，系统阐述多元硫/氮共转化网络的构建逻辑和动力学特征。</w:t>
      </w:r>
    </w:p>
    <w:p w14:paraId="5FD848D9">
      <w:pPr>
        <w:pStyle w:val="5"/>
      </w:pPr>
      <w:bookmarkStart w:id="10" w:name="同质竞争不同结构硫化物对催化活性位的竞争吸附与氧化速率差异"/>
      <w:r>
        <w:t xml:space="preserve">3.1 </w:t>
      </w:r>
      <w:r>
        <w:rPr>
          <w:rFonts w:hint="eastAsia"/>
        </w:rPr>
        <w:t>同质竞争：不同结构硫化物对催化活性位的竞争吸附与氧化速率差异</w:t>
      </w:r>
    </w:p>
    <w:p w14:paraId="759650DF">
      <w:pPr>
        <w:pStyle w:val="23"/>
      </w:pPr>
      <w:r>
        <w:rPr>
          <w:rFonts w:hint="eastAsia"/>
        </w:rPr>
        <w:t>在含有多组分硫化物的体系中，不同结构的硫化物将竞争有限的催化活性位点，其竞争结果取决于吸附平衡常数</w:t>
      </w:r>
      <w:r>
        <w:t xml:space="preserve"> K_ads </w:t>
      </w:r>
      <w:r>
        <w:rPr>
          <w:rFonts w:hint="eastAsia"/>
        </w:rPr>
        <w:t>和本征反应速率常数</w:t>
      </w:r>
      <w:r>
        <w:t xml:space="preserve"> k_r </w:t>
      </w:r>
      <w:r>
        <w:rPr>
          <w:rFonts w:hint="eastAsia"/>
        </w:rPr>
        <w:t>的乘积（即竞争因子</w:t>
      </w:r>
      <w:r>
        <w:t xml:space="preserve"> φ = K_ads × </w:t>
      </w:r>
      <w:r>
        <w:rPr>
          <w:rFonts w:hint="eastAsia"/>
        </w:rPr>
        <w:t>k_r）。</w:t>
      </w:r>
    </w:p>
    <w:p w14:paraId="530DC637">
      <w:pPr>
        <w:pStyle w:val="3"/>
      </w:pPr>
      <w:r>
        <w:rPr>
          <w:rFonts w:hint="eastAsia"/>
          <w:b/>
          <w:bCs/>
        </w:rPr>
        <w:t>硫醇</w:t>
      </w:r>
      <w:r>
        <w:rPr>
          <w:b/>
          <w:bCs/>
        </w:rPr>
        <w:t xml:space="preserve"> vs. </w:t>
      </w:r>
      <w:r>
        <w:rPr>
          <w:rFonts w:hint="eastAsia"/>
          <w:b/>
          <w:bCs/>
        </w:rPr>
        <w:t>噻吩的竞争格局。</w:t>
      </w:r>
      <w:r>
        <w:t xml:space="preserve"> </w:t>
      </w:r>
      <w:r>
        <w:rPr>
          <w:rFonts w:hint="eastAsia"/>
        </w:rPr>
        <w:t>硫醇（RSH）因硫原子</w:t>
      </w:r>
      <w:r>
        <w:t xml:space="preserve"> sp³ </w:t>
      </w:r>
      <w:r>
        <w:rPr>
          <w:rFonts w:hint="eastAsia"/>
        </w:rPr>
        <w:t>杂化、孤对电子可及性高，在活性位上的吸附平衡常数显著大于噻吩（K_ads,ThSH</w:t>
      </w:r>
      <w:r>
        <w:t xml:space="preserve"> &gt;&gt; </w:t>
      </w:r>
      <w:r>
        <w:rPr>
          <w:rFonts w:hint="eastAsia"/>
        </w:rPr>
        <w:t>K_ads,Thiophene）。同时，硫醇的本征氧化速率常数</w:t>
      </w:r>
      <w:r>
        <w:t xml:space="preserve"> k_r </w:t>
      </w:r>
      <w:r>
        <w:rPr>
          <w:rFonts w:hint="eastAsia"/>
        </w:rPr>
        <w:t>也比噻吩高</w:t>
      </w:r>
      <w:r>
        <w:t xml:space="preserve"> 1–2 </w:t>
      </w:r>
      <w:r>
        <w:rPr>
          <w:rFonts w:hint="eastAsia"/>
        </w:rPr>
        <w:t>个数量级——这是因为硫醇的</w:t>
      </w:r>
      <w:r>
        <w:t xml:space="preserve"> S–H </w:t>
      </w:r>
      <w:r>
        <w:rPr>
          <w:rFonts w:hint="eastAsia"/>
        </w:rPr>
        <w:t>键能（~365</w:t>
      </w:r>
      <w:r>
        <w:t xml:space="preserve"> </w:t>
      </w:r>
      <w:r>
        <w:rPr>
          <w:rFonts w:hint="eastAsia"/>
        </w:rPr>
        <w:t>kJ·mol⁻¹）低于噻吩中</w:t>
      </w:r>
      <w:r>
        <w:t xml:space="preserve"> C–S </w:t>
      </w:r>
      <w:r>
        <w:rPr>
          <w:rFonts w:hint="eastAsia"/>
        </w:rPr>
        <w:t>键的键能（~293</w:t>
      </w:r>
      <w:r>
        <w:t xml:space="preserve"> </w:t>
      </w:r>
      <w:r>
        <w:rPr>
          <w:rFonts w:hint="eastAsia"/>
        </w:rPr>
        <w:t>kJ·mol⁻¹，但需克服芳香稳定化能</w:t>
      </w:r>
      <w:r>
        <w:t xml:space="preserve"> ~150 </w:t>
      </w:r>
      <w:r>
        <w:rPr>
          <w:rFonts w:hint="eastAsia"/>
        </w:rPr>
        <w:t>kJ·mol⁻¹），且硫醇的氧化产物（磺酸</w:t>
      </w:r>
      <w:r>
        <w:t xml:space="preserve"> RSO₃H </w:t>
      </w:r>
      <w:r>
        <w:rPr>
          <w:rFonts w:hint="eastAsia"/>
        </w:rPr>
        <w:t>或二硫化物</w:t>
      </w:r>
      <w:r>
        <w:t xml:space="preserve"> </w:t>
      </w:r>
      <w:r>
        <w:rPr>
          <w:rFonts w:hint="eastAsia"/>
        </w:rPr>
        <w:t>RSSR）的极性远大于噻吩亚砜/砜，更易被极性溶剂萃取脱除。因此，在硫醇与噻吩共存的体系中，硫醇优先被氧化脱除，这一现象在实验上表现为”硫醇去除率</w:t>
      </w:r>
      <w:r>
        <w:t xml:space="preserve"> &gt; </w:t>
      </w:r>
      <w:r>
        <w:rPr>
          <w:rFonts w:hint="eastAsia"/>
        </w:rPr>
        <w:t>99%，而噻吩去除率仅在</w:t>
      </w:r>
      <w:r>
        <w:t xml:space="preserve"> </w:t>
      </w:r>
      <w:r>
        <w:rPr>
          <w:rFonts w:hint="eastAsia"/>
        </w:rPr>
        <w:t>30%–60%“的竞争脱除曲线。</w:t>
      </w:r>
    </w:p>
    <w:p w14:paraId="1ABB6101">
      <w:pPr>
        <w:pStyle w:val="3"/>
      </w:pPr>
      <w:r>
        <w:rPr>
          <w:rFonts w:hint="eastAsia"/>
          <w:b/>
          <w:bCs/>
        </w:rPr>
        <w:t>噻吩同系物的竞争排序。</w:t>
      </w:r>
      <w:r>
        <w:t xml:space="preserve"> </w:t>
      </w:r>
      <w:r>
        <w:rPr>
          <w:rFonts w:hint="eastAsia"/>
        </w:rPr>
        <w:t>在噻吩、苯并噻吩和二苯并噻吩三者共存时，竞争吸附顺序通常为</w:t>
      </w:r>
      <w:r>
        <w:t xml:space="preserve"> DBT &gt; BTH &gt; </w:t>
      </w:r>
      <w:r>
        <w:rPr>
          <w:rFonts w:hint="eastAsia"/>
        </w:rPr>
        <w:t>Thiophene（因共轭面积增大导致</w:t>
      </w:r>
      <w:r>
        <w:t xml:space="preserve"> π–π </w:t>
      </w:r>
      <w:r>
        <w:rPr>
          <w:rFonts w:hint="eastAsia"/>
        </w:rPr>
        <w:t>相互作用增强），但本征氧化速率顺序则相反——Thiophene</w:t>
      </w:r>
      <w:r>
        <w:t xml:space="preserve"> &gt; BTH &gt; </w:t>
      </w:r>
      <w:r>
        <w:rPr>
          <w:rFonts w:hint="eastAsia"/>
        </w:rPr>
        <w:t>DBT（因芳香稳定化能和空间位阻递增）。两者的综合竞争因子决定了最终的脱除优先级：在低</w:t>
      </w:r>
      <w:r>
        <w:t xml:space="preserve"> H₂O₂ </w:t>
      </w:r>
      <w:r>
        <w:rPr>
          <w:rFonts w:hint="eastAsia"/>
        </w:rPr>
        <w:t>用量条件下，噻吩优先被氧化；当</w:t>
      </w:r>
      <w:r>
        <w:t xml:space="preserve"> H₂O₂ </w:t>
      </w:r>
      <w:r>
        <w:rPr>
          <w:rFonts w:hint="eastAsia"/>
        </w:rPr>
        <w:t>过量时，DBT</w:t>
      </w:r>
      <w:r>
        <w:t xml:space="preserve"> </w:t>
      </w:r>
      <w:r>
        <w:rPr>
          <w:rFonts w:hint="eastAsia"/>
        </w:rPr>
        <w:t>才能被充分脱除。这一竞争排序对</w:t>
      </w:r>
      <w:r>
        <w:t xml:space="preserve"> CODS </w:t>
      </w:r>
      <w:r>
        <w:rPr>
          <w:rFonts w:hint="eastAsia"/>
        </w:rPr>
        <w:t>工艺的氧化剂计量控制具有重要指导意义。</w:t>
      </w:r>
    </w:p>
    <w:bookmarkEnd w:id="10"/>
    <w:p w14:paraId="0B246062">
      <w:pPr>
        <w:pStyle w:val="5"/>
      </w:pPr>
      <w:bookmarkStart w:id="11" w:name="异质干扰与共转化含氮化合物对硫化物氧化反应的抑制效应"/>
      <w:r>
        <w:t xml:space="preserve">3.2 </w:t>
      </w:r>
      <w:r>
        <w:rPr>
          <w:rFonts w:hint="eastAsia"/>
        </w:rPr>
        <w:t>异质干扰与共转化：含氮化合物对硫化物氧化反应的抑制效应</w:t>
      </w:r>
    </w:p>
    <w:p w14:paraId="172AACAF">
      <w:pPr>
        <w:pStyle w:val="23"/>
      </w:pPr>
      <w:r>
        <w:rPr>
          <w:rFonts w:hint="eastAsia"/>
        </w:rPr>
        <w:t>含氮化合物对硫化物氧化反应的抑制是煤制气副产轻烃</w:t>
      </w:r>
      <w:r>
        <w:t xml:space="preserve"> CODS </w:t>
      </w:r>
      <w:r>
        <w:rPr>
          <w:rFonts w:hint="eastAsia"/>
        </w:rPr>
        <w:t>过程中最为突出的技术挑战。抑制效应可从</w:t>
      </w:r>
      <w:r>
        <w:t xml:space="preserve"> Brønsted </w:t>
      </w:r>
      <w:r>
        <w:rPr>
          <w:rFonts w:hint="eastAsia"/>
        </w:rPr>
        <w:t>酸位毒化和</w:t>
      </w:r>
      <w:r>
        <w:t xml:space="preserve"> Lewis </w:t>
      </w:r>
      <w:r>
        <w:rPr>
          <w:rFonts w:hint="eastAsia"/>
        </w:rPr>
        <w:t>酸位占据两个层面理解。</w:t>
      </w:r>
    </w:p>
    <w:p w14:paraId="24BF9DCC">
      <w:pPr>
        <w:pStyle w:val="3"/>
      </w:pPr>
      <w:r>
        <w:rPr>
          <w:rFonts w:hint="eastAsia"/>
          <w:b/>
          <w:bCs/>
        </w:rPr>
        <w:t>碱性氮对</w:t>
      </w:r>
      <w:r>
        <w:rPr>
          <w:b/>
          <w:bCs/>
        </w:rPr>
        <w:t xml:space="preserve"> Brønsted </w:t>
      </w:r>
      <w:r>
        <w:rPr>
          <w:rFonts w:hint="eastAsia"/>
          <w:b/>
          <w:bCs/>
        </w:rPr>
        <w:t>酸位的不可逆毒化。</w:t>
      </w:r>
      <w:r>
        <w:t xml:space="preserve"> </w:t>
      </w:r>
      <w:r>
        <w:rPr>
          <w:rFonts w:hint="eastAsia"/>
        </w:rPr>
        <w:t>在</w:t>
      </w:r>
      <w:r>
        <w:t xml:space="preserve"> HPA </w:t>
      </w:r>
      <w:r>
        <w:rPr>
          <w:rFonts w:hint="eastAsia"/>
        </w:rPr>
        <w:t>负载型催化剂体系中，HPA</w:t>
      </w:r>
      <w:r>
        <w:t xml:space="preserve"> </w:t>
      </w:r>
      <w:r>
        <w:rPr>
          <w:rFonts w:hint="eastAsia"/>
        </w:rPr>
        <w:t>的超强</w:t>
      </w:r>
      <w:r>
        <w:t xml:space="preserve"> Brønsted </w:t>
      </w:r>
      <w:r>
        <w:rPr>
          <w:rFonts w:hint="eastAsia"/>
        </w:rPr>
        <w:t>酸性（H₀</w:t>
      </w:r>
      <w:r>
        <w:t xml:space="preserve"> ≈ </w:t>
      </w:r>
      <w:r>
        <w:rPr>
          <w:rFonts w:hint="eastAsia"/>
        </w:rPr>
        <w:t>–14）是其活化</w:t>
      </w:r>
      <w:r>
        <w:t xml:space="preserve"> H₂O₂ </w:t>
      </w:r>
      <w:r>
        <w:rPr>
          <w:rFonts w:hint="eastAsia"/>
        </w:rPr>
        <w:t>生成·OH</w:t>
      </w:r>
      <w:r>
        <w:t xml:space="preserve"> </w:t>
      </w:r>
      <w:r>
        <w:rPr>
          <w:rFonts w:hint="eastAsia"/>
        </w:rPr>
        <w:t>自由基的关键。吡啶和喹啉等碱性氮化物通过</w:t>
      </w:r>
      <w:r>
        <w:t xml:space="preserve"> N </w:t>
      </w:r>
      <w:r>
        <w:rPr>
          <w:rFonts w:hint="eastAsia"/>
        </w:rPr>
        <w:t>原子的孤对电子与</w:t>
      </w:r>
      <w:r>
        <w:t xml:space="preserve"> HPA </w:t>
      </w:r>
      <w:r>
        <w:rPr>
          <w:rFonts w:hint="eastAsia"/>
        </w:rPr>
        <w:t>的质子位（H⁺）发生强酸碱中和反应，形成稳定的吡啶鎓盐（C₅H₅NH⁺[PW₁₂O₄₀]³⁻）：</w:t>
      </w:r>
    </w:p>
    <w:p w14:paraId="32C11D26">
      <w:pPr>
        <w:pStyle w:val="3"/>
      </w:pPr>
      <m:oMathPara>
        <m:oMathParaPr>
          <m:jc m:val="center"/>
        </m:oMathParaPr>
        <m:oMath>
          <m:sSub>
            <m:sSubPr/>
            <m:e>
              <m:r>
                <m:rPr>
                  <m:sty m:val="p"/>
                </m:rPr>
                <m:t>H</m:t>
              </m:r>
            </m:e>
            <m:sub>
              <m:r>
                <m:rPr>
                  <m:sty m:val="p"/>
                </m:rPr>
                <m:t>3</m:t>
              </m:r>
            </m:sub>
          </m:sSub>
          <m:r>
            <m:rPr>
              <m:sty m:val="p"/>
            </m:rPr>
            <m:t>P</m:t>
          </m:r>
          <m:sSub>
            <m:sSubPr/>
            <m:e>
              <m:r>
                <m:rPr>
                  <m:sty m:val="p"/>
                </m:rPr>
                <m:t>W</m:t>
              </m:r>
            </m:e>
            <m:sub>
              <m:r>
                <m:rPr>
                  <m:sty m:val="p"/>
                </m:rPr>
                <m:t>12</m:t>
              </m:r>
            </m:sub>
          </m:sSub>
          <m:sSub>
            <m:sSubPr/>
            <m:e>
              <m:r>
                <m:rPr>
                  <m:sty m:val="p"/>
                </m:rPr>
                <m:t>O</m:t>
              </m:r>
            </m:e>
            <m:sub>
              <m:r>
                <m:rPr>
                  <m:sty m:val="p"/>
                </m:rPr>
                <m:t>40</m:t>
              </m:r>
            </m:sub>
          </m:sSub>
          <m:r>
            <m:rPr>
              <m:sty m:val="p"/>
            </m:rPr>
            <m:t>+</m:t>
          </m:r>
          <m:sSub>
            <m:sSubPr/>
            <m:e>
              <m:r>
                <m:rPr>
                  <m:sty m:val="p"/>
                </m:rPr>
                <m:t>C</m:t>
              </m:r>
            </m:e>
            <m:sub>
              <m:r>
                <m:rPr>
                  <m:sty m:val="p"/>
                </m:rPr>
                <m:t>5</m:t>
              </m:r>
            </m:sub>
          </m:sSub>
          <m:sSub>
            <m:sSubPr/>
            <m:e>
              <m:r>
                <m:rPr>
                  <m:sty m:val="p"/>
                </m:rPr>
                <m:t>H</m:t>
              </m:r>
            </m:e>
            <m:sub>
              <m:r>
                <m:rPr>
                  <m:sty m:val="p"/>
                </m:rPr>
                <m:t>5</m:t>
              </m:r>
            </m:sub>
          </m:sSub>
          <m:r>
            <m:rPr>
              <m:sty m:val="p"/>
            </m:rPr>
            <m:t>N→</m:t>
          </m:r>
          <m:sSub>
            <m:sSubPr/>
            <m:e>
              <m:r>
                <m:rPr>
                  <m:sty m:val="p"/>
                </m:rPr>
                <m:t>C</m:t>
              </m:r>
            </m:e>
            <m:sub>
              <m:r>
                <m:rPr>
                  <m:sty m:val="p"/>
                </m:rPr>
                <m:t>5</m:t>
              </m:r>
            </m:sub>
          </m:sSub>
          <m:sSub>
            <m:sSubPr/>
            <m:e>
              <m:r>
                <m:rPr>
                  <m:sty m:val="p"/>
                </m:rPr>
                <m:t>H</m:t>
              </m:r>
            </m:e>
            <m:sub>
              <m:r>
                <m:rPr>
                  <m:sty m:val="p"/>
                </m:rPr>
                <m:t>5</m:t>
              </m:r>
            </m:sub>
          </m:sSub>
          <m:r>
            <m:rPr>
              <m:sty m:val="p"/>
            </m:rPr>
            <m:t>N</m:t>
          </m:r>
          <m:sSup>
            <m:sSupPr/>
            <m:e>
              <m:r>
                <m:rPr>
                  <m:sty m:val="p"/>
                </m:rPr>
                <m:t>H</m:t>
              </m:r>
            </m:e>
            <m:sup>
              <m:r>
                <m:rPr>
                  <m:sty m:val="p"/>
                </m:rPr>
                <m:t>+</m:t>
              </m:r>
            </m:sup>
          </m:sSup>
          <m:r>
            <m:rPr>
              <m:sty m:val="p"/>
            </m:rPr>
            <m:t>+[HP</m:t>
          </m:r>
          <m:sSub>
            <m:sSubPr/>
            <m:e>
              <m:r>
                <m:rPr>
                  <m:sty m:val="p"/>
                </m:rPr>
                <m:t>W</m:t>
              </m:r>
            </m:e>
            <m:sub>
              <m:r>
                <m:rPr>
                  <m:sty m:val="p"/>
                </m:rPr>
                <m:t>12</m:t>
              </m:r>
            </m:sub>
          </m:sSub>
          <m:sSub>
            <m:sSubPr/>
            <m:e>
              <m:r>
                <m:rPr>
                  <m:sty m:val="p"/>
                </m:rPr>
                <m:t>O</m:t>
              </m:r>
            </m:e>
            <m:sub>
              <m:r>
                <m:rPr>
                  <m:sty m:val="p"/>
                </m:rPr>
                <m:t>40</m:t>
              </m:r>
            </m:sub>
          </m:sSub>
          <m:sSup>
            <m:sSupPr/>
            <m:e>
              <m:r>
                <m:rPr>
                  <m:sty m:val="p"/>
                </m:rPr>
                <m:t>]</m:t>
              </m:r>
            </m:e>
            <m:sup>
              <m:r>
                <m:rPr/>
                <m:t>2</m:t>
              </m:r>
              <m:r>
                <m:rPr>
                  <m:sty m:val="p"/>
                </m:rPr>
                <m:t>−</m:t>
              </m:r>
            </m:sup>
          </m:sSup>
        </m:oMath>
      </m:oMathPara>
    </w:p>
    <w:p w14:paraId="6085101C">
      <w:pPr>
        <w:pStyle w:val="23"/>
      </w:pPr>
      <w:r>
        <w:rPr>
          <w:rFonts w:hint="eastAsia"/>
        </w:rPr>
        <w:t>该反应的平衡常数</w:t>
      </w:r>
      <w:r>
        <w:t xml:space="preserve"> log K ≈ </w:t>
      </w:r>
      <w:r>
        <w:rPr>
          <w:rFonts w:hint="eastAsia"/>
        </w:rPr>
        <w:t>11.6（吡啶</w:t>
      </w:r>
      <w:r>
        <w:t xml:space="preserve"> pKa = </w:t>
      </w:r>
      <w:r>
        <w:rPr>
          <w:rFonts w:hint="eastAsia"/>
        </w:rPr>
        <w:t>5.2，HPA</w:t>
      </w:r>
      <w:r>
        <w:t xml:space="preserve"> </w:t>
      </w:r>
      <w:r>
        <w:rPr>
          <w:rFonts w:hint="eastAsia"/>
        </w:rPr>
        <w:t>表观</w:t>
      </w:r>
      <w:r>
        <w:t xml:space="preserve"> pKa ≈ </w:t>
      </w:r>
      <w:r>
        <w:rPr>
          <w:rFonts w:hint="eastAsia"/>
        </w:rPr>
        <w:t>–14），意味着在热力学上几乎完全偏向产物方向。一旦</w:t>
      </w:r>
      <w:r>
        <w:t xml:space="preserve"> HPA </w:t>
      </w:r>
      <w:r>
        <w:rPr>
          <w:rFonts w:hint="eastAsia"/>
        </w:rPr>
        <w:t>的质子位被碱性氮占据，H₂O₂</w:t>
      </w:r>
      <w:r>
        <w:t xml:space="preserve"> </w:t>
      </w:r>
      <w:r>
        <w:rPr>
          <w:rFonts w:hint="eastAsia"/>
        </w:rPr>
        <w:t>的质子化路径被阻断，·OH</w:t>
      </w:r>
      <w:r>
        <w:t xml:space="preserve"> </w:t>
      </w:r>
      <w:r>
        <w:rPr>
          <w:rFonts w:hint="eastAsia"/>
        </w:rPr>
        <w:t>自由基的生成速率骤降</w:t>
      </w:r>
      <w:r>
        <w:t xml:space="preserve"> 1–2 </w:t>
      </w:r>
      <w:r>
        <w:rPr>
          <w:rFonts w:hint="eastAsia"/>
        </w:rPr>
        <w:t>个数量级，导致硫化物氧化效率急剧下降。实验数据表明，当体系中吡啶浓度达到</w:t>
      </w:r>
      <w:r>
        <w:t xml:space="preserve"> 50 ppm </w:t>
      </w:r>
      <w:r>
        <w:rPr>
          <w:rFonts w:hint="eastAsia"/>
        </w:rPr>
        <w:t>时，噻吩的氧化脱除率从</w:t>
      </w:r>
      <w:r>
        <w:t xml:space="preserve"> 98% </w:t>
      </w:r>
      <w:r>
        <w:rPr>
          <w:rFonts w:hint="eastAsia"/>
        </w:rPr>
        <w:t>降至</w:t>
      </w:r>
      <w:r>
        <w:t xml:space="preserve"> 45% </w:t>
      </w:r>
      <w:r>
        <w:rPr>
          <w:rFonts w:hint="eastAsia"/>
        </w:rPr>
        <w:t>以下。</w:t>
      </w:r>
    </w:p>
    <w:p w14:paraId="1C3AEB51">
      <w:pPr>
        <w:pStyle w:val="3"/>
      </w:pPr>
      <w:r>
        <w:rPr>
          <w:b/>
          <w:bCs/>
        </w:rPr>
        <w:t xml:space="preserve">Lewis </w:t>
      </w:r>
      <w:r>
        <w:rPr>
          <w:rFonts w:hint="eastAsia"/>
          <w:b/>
          <w:bCs/>
        </w:rPr>
        <w:t>酸性金属位点的占据与配位饱和。</w:t>
      </w:r>
      <w:r>
        <w:t xml:space="preserve"> </w:t>
      </w:r>
      <w:r>
        <w:rPr>
          <w:rFonts w:hint="eastAsia"/>
        </w:rPr>
        <w:t>对于</w:t>
      </w:r>
      <w:r>
        <w:t xml:space="preserve"> WOₓ/SiO₂ </w:t>
      </w:r>
      <w:r>
        <w:rPr>
          <w:rFonts w:hint="eastAsia"/>
        </w:rPr>
        <w:t>等以金属</w:t>
      </w:r>
      <w:r>
        <w:t xml:space="preserve"> Lewis </w:t>
      </w:r>
      <w:r>
        <w:rPr>
          <w:rFonts w:hint="eastAsia"/>
        </w:rPr>
        <w:t>酸位为活性中心的催化剂，碱性氮化物通过</w:t>
      </w:r>
      <w:r>
        <w:t xml:space="preserve"> N→W </w:t>
      </w:r>
      <w:r>
        <w:rPr>
          <w:rFonts w:hint="eastAsia"/>
        </w:rPr>
        <w:t>配位占据表面钨位点。由于</w:t>
      </w:r>
      <w:r>
        <w:t xml:space="preserve"> N→W </w:t>
      </w:r>
      <w:r>
        <w:rPr>
          <w:rFonts w:hint="eastAsia"/>
        </w:rPr>
        <w:t>配位键的键能（~80–120</w:t>
      </w:r>
      <w:r>
        <w:t xml:space="preserve"> </w:t>
      </w:r>
      <w:r>
        <w:rPr>
          <w:rFonts w:hint="eastAsia"/>
        </w:rPr>
        <w:t>kJ·mol⁻¹）显著高于</w:t>
      </w:r>
      <w:r>
        <w:t xml:space="preserve"> S→W </w:t>
      </w:r>
      <w:r>
        <w:rPr>
          <w:rFonts w:hint="eastAsia"/>
        </w:rPr>
        <w:t>配位键（~40–60</w:t>
      </w:r>
      <w:r>
        <w:t xml:space="preserve"> </w:t>
      </w:r>
      <w:r>
        <w:rPr>
          <w:rFonts w:hint="eastAsia"/>
        </w:rPr>
        <w:t>kJ·mol⁻¹），吡啶等氮化物在竞争吸附中占据绝对优势。更严重的是，氮化物在活性位上的吸附具有较强的不可逆性——在常温常压下即使通入惰性气体吹扫，被吡啶占据的钨位点也难以恢复活性，这与硫醇在活性位上的可逆吸附形成鲜明对比。</w:t>
      </w:r>
    </w:p>
    <w:p w14:paraId="31505CC0">
      <w:pPr>
        <w:pStyle w:val="3"/>
      </w:pPr>
      <w:r>
        <w:rPr>
          <w:rFonts w:hint="eastAsia"/>
          <w:b/>
          <w:bCs/>
        </w:rPr>
        <w:t>共转化网络中的同步活化路径。</w:t>
      </w:r>
      <w:r>
        <w:t xml:space="preserve"> </w:t>
      </w:r>
      <w:r>
        <w:rPr>
          <w:rFonts w:hint="eastAsia"/>
        </w:rPr>
        <w:t>尽管碱性氮化物对硫化物氧化具有强烈的抑制效应，但近年来的原位红外（in</w:t>
      </w:r>
      <w:r>
        <w:t xml:space="preserve"> situ </w:t>
      </w:r>
      <w:r>
        <w:rPr>
          <w:rFonts w:hint="eastAsia"/>
        </w:rPr>
        <w:t>DRIFT）和</w:t>
      </w:r>
      <w:r>
        <w:t xml:space="preserve"> DFT </w:t>
      </w:r>
      <w:r>
        <w:rPr>
          <w:rFonts w:hint="eastAsia"/>
        </w:rPr>
        <w:t>计算研究表明，在特定的催化剂设计下，硫/氮共转化也可能走出一条”化阻力为助力”的新路径。例如，在双功能催化剂（如</w:t>
      </w:r>
      <w:r>
        <w:t xml:space="preserve"> Hβ </w:t>
      </w:r>
      <w:r>
        <w:rPr>
          <w:rFonts w:hint="eastAsia"/>
        </w:rPr>
        <w:t>分子筛负载</w:t>
      </w:r>
      <w:r>
        <w:t xml:space="preserve"> </w:t>
      </w:r>
      <w:r>
        <w:rPr>
          <w:rFonts w:hint="eastAsia"/>
        </w:rPr>
        <w:t>HPA）中，分子筛的</w:t>
      </w:r>
      <w:r>
        <w:t xml:space="preserve"> Brønsted </w:t>
      </w:r>
      <w:r>
        <w:rPr>
          <w:rFonts w:hint="eastAsia"/>
        </w:rPr>
        <w:t>酸位可选择性吸附并质子化碱性氮化物，而</w:t>
      </w:r>
      <w:r>
        <w:t xml:space="preserve"> HPA </w:t>
      </w:r>
      <w:r>
        <w:rPr>
          <w:rFonts w:hint="eastAsia"/>
        </w:rPr>
        <w:t>的氧化位点则专司硫化物氧化——通过酸–氧化位点的空间分离，实现了硫/氮的”并行共转化”而非”竞争抑制”。此外，某些过渡金属中心（如</w:t>
      </w:r>
      <w:r>
        <w:t xml:space="preserve"> </w:t>
      </w:r>
      <w:r>
        <w:rPr>
          <w:rFonts w:hint="eastAsia"/>
        </w:rPr>
        <w:t>Nb⁵⁺、Zr⁴⁺）对氮化物的配位能力弱于</w:t>
      </w:r>
      <w:r>
        <w:t xml:space="preserve"> </w:t>
      </w:r>
      <w:r>
        <w:rPr>
          <w:rFonts w:hint="eastAsia"/>
        </w:rPr>
        <w:t>W⁶⁺、Mo⁶⁺，但对其表面硫化物的氧化活性却不显著降低，这为”抗氮”催化剂的设计提供了新的思路。</w:t>
      </w:r>
    </w:p>
    <w:bookmarkEnd w:id="11"/>
    <w:p w14:paraId="72172A9E">
      <w:pPr>
        <w:pStyle w:val="5"/>
      </w:pPr>
      <w:bookmarkStart w:id="12" w:name="真实基质效应烯烃芳烃与水分的协同干扰"/>
      <w:r>
        <w:t xml:space="preserve">3.3 </w:t>
      </w:r>
      <w:r>
        <w:rPr>
          <w:rFonts w:hint="eastAsia"/>
        </w:rPr>
        <w:t>真实基质效应：烯烃、芳烃与水分的协同干扰</w:t>
      </w:r>
    </w:p>
    <w:p w14:paraId="523D07B6">
      <w:pPr>
        <w:pStyle w:val="23"/>
      </w:pPr>
      <w:r>
        <w:rPr>
          <w:rFonts w:hint="eastAsia"/>
        </w:rPr>
        <w:t>真实煤制气副产轻烃中除了硫/氮杂质外，还含有微量烯烃（乙烯、丙烯、丁烯）、芳烃（苯、甲苯、二甲苯）和水分，这些组分通过竞争氧化、溶剂化作用和表面润湿性调控三种途径深刻影响</w:t>
      </w:r>
      <w:r>
        <w:t xml:space="preserve"> CODS </w:t>
      </w:r>
      <w:r>
        <w:rPr>
          <w:rFonts w:hint="eastAsia"/>
        </w:rPr>
        <w:t>过程的效率。</w:t>
      </w:r>
    </w:p>
    <w:p w14:paraId="387C0376">
      <w:pPr>
        <w:pStyle w:val="3"/>
      </w:pPr>
      <w:r>
        <w:rPr>
          <w:rFonts w:hint="eastAsia"/>
          <w:b/>
          <w:bCs/>
        </w:rPr>
        <w:t>烯烃的竞争环氧化。</w:t>
      </w:r>
      <w:r>
        <w:t xml:space="preserve"> </w:t>
      </w:r>
      <w:r>
        <w:rPr>
          <w:rFonts w:hint="eastAsia"/>
        </w:rPr>
        <w:t>烯烃分子中的</w:t>
      </w:r>
      <w:r>
        <w:t xml:space="preserve"> C=C </w:t>
      </w:r>
      <w:r>
        <w:rPr>
          <w:rFonts w:hint="eastAsia"/>
        </w:rPr>
        <w:t>双键是亲电氧物种的另一个高效受体。H₂O₂</w:t>
      </w:r>
      <w:r>
        <w:t xml:space="preserve"> </w:t>
      </w:r>
      <w:r>
        <w:rPr>
          <w:rFonts w:hint="eastAsia"/>
        </w:rPr>
        <w:t>在金属活性位上活化生成的过氧物种（M–OOH）可同时进攻烯烃生成环氧化物（epoxide）：</w:t>
      </w:r>
    </w:p>
    <w:p w14:paraId="0CA26B2D">
      <w:pPr>
        <w:pStyle w:val="3"/>
      </w:pPr>
      <m:oMathPara>
        <m:oMathParaPr>
          <m:jc m:val="center"/>
        </m:oMathParaPr>
        <m:oMath>
          <m:r>
            <m:rPr>
              <m:sty m:val="p"/>
            </m:rPr>
            <m:t>M−O−O−H+R−CH=CH−</m:t>
          </m:r>
          <m:sSup>
            <m:sSupPr/>
            <m:e>
              <m:r>
                <m:rPr>
                  <m:sty m:val="p"/>
                </m:rPr>
                <m:t>R</m:t>
              </m:r>
            </m:e>
            <m:sup>
              <m:r>
                <m:rPr>
                  <m:sty m:val="p"/>
                </m:rPr>
                <m:t>′</m:t>
              </m:r>
            </m:sup>
          </m:sSup>
          <m:r>
            <m:rPr>
              <m:sty m:val="p"/>
            </m:rPr>
            <m:t>→M−OH+R−CH(O)CH−</m:t>
          </m:r>
          <m:sSup>
            <m:sSupPr/>
            <m:e>
              <m:r>
                <m:rPr>
                  <m:sty m:val="p"/>
                </m:rPr>
                <m:t>R</m:t>
              </m:r>
            </m:e>
            <m:sup>
              <m:r>
                <m:rPr>
                  <m:sty m:val="p"/>
                </m:rPr>
                <m:t>′</m:t>
              </m:r>
            </m:sup>
          </m:sSup>
        </m:oMath>
      </m:oMathPara>
    </w:p>
    <w:p w14:paraId="69FB86A9">
      <w:pPr>
        <w:pStyle w:val="23"/>
      </w:pPr>
      <w:r>
        <w:rPr>
          <w:rFonts w:hint="eastAsia"/>
        </w:rPr>
        <w:t>环氧化反应与硫化物氧化反应共享同一活性氧物种，因此在烯烃含量较高的轻烃体系中，有效氧化剂的”分流”将显著降低硫化物的氧化转化率。DFT</w:t>
      </w:r>
      <w:r>
        <w:t xml:space="preserve"> </w:t>
      </w:r>
      <w:r>
        <w:rPr>
          <w:rFonts w:hint="eastAsia"/>
        </w:rPr>
        <w:t>计算表明，丙烯在</w:t>
      </w:r>
      <w:r>
        <w:t xml:space="preserve"> WOₓ/SiO₂ </w:t>
      </w:r>
      <w:r>
        <w:rPr>
          <w:rFonts w:hint="eastAsia"/>
        </w:rPr>
        <w:t>上的环氧化能垒（~35</w:t>
      </w:r>
      <w:r>
        <w:t xml:space="preserve"> </w:t>
      </w:r>
      <w:r>
        <w:rPr>
          <w:rFonts w:hint="eastAsia"/>
        </w:rPr>
        <w:t>kJ·mol⁻¹）低于噻吩的氧化能垒（~50</w:t>
      </w:r>
      <w:r>
        <w:t xml:space="preserve"> </w:t>
      </w:r>
      <w:r>
        <w:rPr>
          <w:rFonts w:hint="eastAsia"/>
        </w:rPr>
        <w:t>kJ·mol⁻¹），这意味着烯烃将优先消耗活性氧物种。解决策略包括：①</w:t>
      </w:r>
      <w:r>
        <w:t xml:space="preserve"> </w:t>
      </w:r>
      <w:r>
        <w:rPr>
          <w:rFonts w:hint="eastAsia"/>
        </w:rPr>
        <w:t>在</w:t>
      </w:r>
      <w:r>
        <w:t xml:space="preserve"> CODS </w:t>
      </w:r>
      <w:r>
        <w:rPr>
          <w:rFonts w:hint="eastAsia"/>
        </w:rPr>
        <w:t>前增设烯烃选择性加氢预处理段，将烯烃转化为饱和烷烃；②</w:t>
      </w:r>
      <w:r>
        <w:t xml:space="preserve"> </w:t>
      </w:r>
      <w:r>
        <w:rPr>
          <w:rFonts w:hint="eastAsia"/>
        </w:rPr>
        <w:t>开发对烯烃环氧化惰性但对硫化物氧化高活性的”选择性过氧物种”（如通过载体孔道尺寸调控过氧物种的空间可及性）。</w:t>
      </w:r>
    </w:p>
    <w:p w14:paraId="4EF848B6">
      <w:pPr>
        <w:pStyle w:val="3"/>
      </w:pPr>
      <w:r>
        <w:rPr>
          <w:rFonts w:hint="eastAsia"/>
          <w:b/>
          <w:bCs/>
        </w:rPr>
        <w:t>芳烃的溶剂化效应与传质限制。</w:t>
      </w:r>
      <w:r>
        <w:t xml:space="preserve"> </w:t>
      </w:r>
      <w:r>
        <w:rPr>
          <w:rFonts w:hint="eastAsia"/>
        </w:rPr>
        <w:t>芳烃组分（尤其是甲苯和二甲苯）在轻烃体系中扮演”极性溶剂”的角色——其</w:t>
      </w:r>
      <w:r>
        <w:t xml:space="preserve"> π </w:t>
      </w:r>
      <w:r>
        <w:rPr>
          <w:rFonts w:hint="eastAsia"/>
        </w:rPr>
        <w:t>电子云可与含硫底物的硫原子产生</w:t>
      </w:r>
      <w:r>
        <w:t xml:space="preserve"> π–S </w:t>
      </w:r>
      <w:r>
        <w:rPr>
          <w:rFonts w:hint="eastAsia"/>
        </w:rPr>
        <w:t>相互作用，降低硫化物在活性位上的有效吸附浓度。此外，芳烃分子较大的动力学直径（苯</w:t>
      </w:r>
      <w:r>
        <w:t xml:space="preserve"> ~5.8 </w:t>
      </w:r>
      <w:r>
        <w:rPr>
          <w:rFonts w:hint="eastAsia"/>
        </w:rPr>
        <w:t>Å，甲苯</w:t>
      </w:r>
      <w:r>
        <w:t xml:space="preserve"> ~6.2 </w:t>
      </w:r>
      <w:r>
        <w:rPr>
          <w:rFonts w:hint="eastAsia"/>
        </w:rPr>
        <w:t>Å）可能在介孔载体（如</w:t>
      </w:r>
      <w:r>
        <w:t xml:space="preserve"> </w:t>
      </w:r>
      <w:r>
        <w:rPr>
          <w:rFonts w:hint="eastAsia"/>
        </w:rPr>
        <w:t>SBA-15、MCM-41）的孔道内产生传质限制，阻碍硫化物向活性位的扩散。当载体孔径与芳烃分子尺寸接近时（如</w:t>
      </w:r>
      <w:r>
        <w:t xml:space="preserve"> HZSM-5 </w:t>
      </w:r>
      <w:r>
        <w:rPr>
          <w:rFonts w:hint="eastAsia"/>
        </w:rPr>
        <w:t>的</w:t>
      </w:r>
      <w:r>
        <w:t xml:space="preserve"> 10 </w:t>
      </w:r>
      <w:r>
        <w:rPr>
          <w:rFonts w:hint="eastAsia"/>
        </w:rPr>
        <w:t>元环孔道</w:t>
      </w:r>
      <w:r>
        <w:t xml:space="preserve"> ~5.5 </w:t>
      </w:r>
      <w:r>
        <w:rPr>
          <w:rFonts w:hint="eastAsia"/>
        </w:rPr>
        <w:t>Å），芳烃甚至可能完全阻塞孔口，形成”孔道封锁”效应。</w:t>
      </w:r>
    </w:p>
    <w:p w14:paraId="48F7DA99">
      <w:pPr>
        <w:pStyle w:val="3"/>
      </w:pPr>
      <w:r>
        <w:rPr>
          <w:rFonts w:hint="eastAsia"/>
          <w:b/>
          <w:bCs/>
        </w:rPr>
        <w:t>微量水的表面润湿性调控。</w:t>
      </w:r>
      <w:r>
        <w:t xml:space="preserve"> </w:t>
      </w:r>
      <w:r>
        <w:rPr>
          <w:rFonts w:hint="eastAsia"/>
        </w:rPr>
        <w:t>煤制气副产轻烃中通常含有</w:t>
      </w:r>
      <w:r>
        <w:t xml:space="preserve"> 50–500 ppm </w:t>
      </w:r>
      <w:r>
        <w:rPr>
          <w:rFonts w:hint="eastAsia"/>
        </w:rPr>
        <w:t>的微量水分。水分子对</w:t>
      </w:r>
      <w:r>
        <w:t xml:space="preserve"> CODS </w:t>
      </w:r>
      <w:r>
        <w:rPr>
          <w:rFonts w:hint="eastAsia"/>
        </w:rPr>
        <w:t>过程的影响具有双面性：一方面，水可与</w:t>
      </w:r>
      <w:r>
        <w:t xml:space="preserve"> H₂O₂ </w:t>
      </w:r>
      <w:r>
        <w:rPr>
          <w:rFonts w:hint="eastAsia"/>
        </w:rPr>
        <w:t>竞争活性位点，形成</w:t>
      </w:r>
      <w:r>
        <w:t xml:space="preserve"> W–OH </w:t>
      </w:r>
      <w:r>
        <w:rPr>
          <w:rFonts w:hint="eastAsia"/>
        </w:rPr>
        <w:t>物种而非</w:t>
      </w:r>
      <w:r>
        <w:t xml:space="preserve"> W–OOH </w:t>
      </w:r>
      <w:r>
        <w:rPr>
          <w:rFonts w:hint="eastAsia"/>
        </w:rPr>
        <w:t>物种，从而降低有效氧化剂的浓度；另一方面，适量的水分子可通过氢键网络稳定</w:t>
      </w:r>
      <w:r>
        <w:t xml:space="preserve"> HPA </w:t>
      </w:r>
      <w:r>
        <w:rPr>
          <w:rFonts w:hint="eastAsia"/>
        </w:rPr>
        <w:t>的</w:t>
      </w:r>
      <w:r>
        <w:t xml:space="preserve"> Keggin </w:t>
      </w:r>
      <w:r>
        <w:rPr>
          <w:rFonts w:hint="eastAsia"/>
        </w:rPr>
        <w:t>结构，防止其在反应过程中降解。更重要的是，水的存在显著调控催化剂表面的亲水/疏水平衡——亲水性表面（如未改性的</w:t>
      </w:r>
      <w:r>
        <w:t xml:space="preserve"> </w:t>
      </w:r>
      <w:r>
        <w:rPr>
          <w:rFonts w:hint="eastAsia"/>
        </w:rPr>
        <w:t>SiO₂、Al₂O₃）易被水分子覆盖，导致疏水性硫化物（噻吩、BTH、DBT）的吸附受阻；而疏水性表面（如硅烷修饰的</w:t>
      </w:r>
      <w:r>
        <w:t xml:space="preserve"> </w:t>
      </w:r>
      <w:r>
        <w:rPr>
          <w:rFonts w:hint="eastAsia"/>
        </w:rPr>
        <w:t>SiO₂、碳材料载体）则可在水存在下保持对疏水性硫化物的优先吸附，维持较高的氧化效率。通过调控载体表面的硅铝比（Si/Al</w:t>
      </w:r>
      <w:r>
        <w:t xml:space="preserve"> </w:t>
      </w:r>
      <w:r>
        <w:rPr>
          <w:rFonts w:hint="eastAsia"/>
        </w:rPr>
        <w:t>ratio）或接枝疏水性官能团（如</w:t>
      </w:r>
      <w:r>
        <w:t xml:space="preserve"> </w:t>
      </w:r>
      <w:r>
        <w:rPr>
          <w:rFonts w:hint="eastAsia"/>
        </w:rPr>
        <w:t>–CH₃、–CF₃），可实现催化剂表面润湿性的精准设计，这是当前</w:t>
      </w:r>
      <w:r>
        <w:t xml:space="preserve"> CODS </w:t>
      </w:r>
      <w:r>
        <w:rPr>
          <w:rFonts w:hint="eastAsia"/>
        </w:rPr>
        <w:t>催化剂研究的前沿方向之一。</w:t>
      </w:r>
    </w:p>
    <w:p w14:paraId="67BE5204"/>
    <w:p w14:paraId="7DB9E1C0">
      <w:pPr>
        <w:rPr>
          <w:rFonts w:hint="eastAsia"/>
          <w:lang w:eastAsia="zh-CN"/>
        </w:rPr>
      </w:pPr>
    </w:p>
    <w:p w14:paraId="234950B0">
      <w:pPr>
        <w:rPr>
          <w:rFonts w:hint="eastAsia"/>
          <w:lang w:eastAsia="zh-CN"/>
        </w:rPr>
      </w:pPr>
    </w:p>
    <w:p w14:paraId="64A2D379">
      <w:pPr>
        <w:rPr>
          <w:rFonts w:hint="eastAsia"/>
          <w:lang w:eastAsia="zh-CN"/>
        </w:rPr>
      </w:pPr>
    </w:p>
    <w:p w14:paraId="50A9F91B">
      <w:pPr>
        <w:rPr>
          <w:rFonts w:hint="eastAsia"/>
          <w:lang w:eastAsia="zh-CN"/>
        </w:rPr>
      </w:pPr>
    </w:p>
    <w:p w14:paraId="6FF39DBC">
      <w:pPr>
        <w:rPr>
          <w:rFonts w:hint="eastAsia"/>
          <w:lang w:eastAsia="zh-CN"/>
        </w:rPr>
      </w:pPr>
    </w:p>
    <w:p w14:paraId="3BB7F75A">
      <w:pPr>
        <w:rPr>
          <w:rFonts w:hint="eastAsia"/>
          <w:lang w:eastAsia="zh-CN"/>
        </w:rPr>
      </w:pPr>
    </w:p>
    <w:p w14:paraId="6075DBC3">
      <w:pPr>
        <w:rPr>
          <w:rFonts w:hint="eastAsia"/>
          <w:lang w:eastAsia="zh-CN"/>
        </w:rPr>
      </w:pPr>
    </w:p>
    <w:p w14:paraId="2F7C9A57">
      <w:pPr>
        <w:pStyle w:val="4"/>
        <w:rPr>
          <w:rFonts w:hint="eastAsia"/>
        </w:rPr>
      </w:pPr>
      <w:r>
        <w:rPr>
          <w:rFonts w:hint="eastAsia"/>
        </w:rPr>
        <w:t>四、 深度除臭催化剂的失活机制与再生策略</w:t>
      </w:r>
    </w:p>
    <w:p w14:paraId="4395F7AC">
      <w:pPr>
        <w:pStyle w:val="3"/>
      </w:pPr>
      <w:r>
        <w:rPr>
          <w:rFonts w:hint="eastAsia"/>
        </w:rPr>
        <w:t>负载型</w:t>
      </w:r>
      <w:r>
        <w:t xml:space="preserve"> CODS </w:t>
      </w:r>
      <w:r>
        <w:rPr>
          <w:rFonts w:hint="eastAsia"/>
        </w:rPr>
        <w:t>催化剂在煤制气副产轻烃深度除臭的实际应用中，不可避免地经历活性衰减与失活过程。与炼油</w:t>
      </w:r>
      <w:r>
        <w:t xml:space="preserve"> HDS </w:t>
      </w:r>
      <w:r>
        <w:rPr>
          <w:rFonts w:hint="eastAsia"/>
        </w:rPr>
        <w:t>催化剂因积碳失活的经典模型不同，CODS</w:t>
      </w:r>
      <w:r>
        <w:t xml:space="preserve"> </w:t>
      </w:r>
      <w:r>
        <w:rPr>
          <w:rFonts w:hint="eastAsia"/>
        </w:rPr>
        <w:t>催化剂的失活机制具有鲜明的氧化脱硫特色——高极性氧化产物（亚砜、砜及聚合物）在孔道内的强吸附结焦、强配位氮化物的活性位毒化、以及氧化剂残留引发的活性中心结构坍塌共同构成了多尺度、多路径的复合失活网络。理解这些失活机制并发展有效的再生策略，是实现</w:t>
      </w:r>
      <w:r>
        <w:t xml:space="preserve"> CODS </w:t>
      </w:r>
      <w:r>
        <w:rPr>
          <w:rFonts w:hint="eastAsia"/>
        </w:rPr>
        <w:t>技术从实验室走向工业化的关键前提。</w:t>
      </w:r>
    </w:p>
    <w:bookmarkEnd w:id="12"/>
    <w:p w14:paraId="05E4F155">
      <w:pPr>
        <w:pStyle w:val="5"/>
      </w:pPr>
      <w:bookmarkStart w:id="13" w:name="高极性氧化产物的孔道吸附结焦"/>
      <w:r>
        <w:t xml:space="preserve">4.1 </w:t>
      </w:r>
      <w:r>
        <w:rPr>
          <w:rFonts w:hint="eastAsia"/>
        </w:rPr>
        <w:t>高极性氧化产物的孔道吸附结焦</w:t>
      </w:r>
    </w:p>
    <w:p w14:paraId="6298753E">
      <w:pPr>
        <w:pStyle w:val="23"/>
      </w:pPr>
      <w:r>
        <w:rPr>
          <w:rFonts w:hint="eastAsia"/>
          <w:b/>
          <w:bCs/>
        </w:rPr>
        <w:t>砜类/亚砜类产物的强极性吸附。</w:t>
      </w:r>
      <w:r>
        <w:t xml:space="preserve"> CODS </w:t>
      </w:r>
      <w:r>
        <w:rPr>
          <w:rFonts w:hint="eastAsia"/>
        </w:rPr>
        <w:t>过程的目标是将非极性或弱极性的有机硫化物（如噻吩、BTH、DBT）氧化为极性更强的亚砜（R₂SO）和砜（R₂SO₂）化合物，以便通过极性溶剂萃取脱除。然而，在液–液萃取不完全或连续流动反应体系中，部分氧化产物会残留在催化剂孔道内，通过偶极–偶极相互作用、氢键和</w:t>
      </w:r>
      <w:r>
        <w:t xml:space="preserve"> π–π </w:t>
      </w:r>
      <w:r>
        <w:rPr>
          <w:rFonts w:hint="eastAsia"/>
        </w:rPr>
        <w:t>堆积与载体表面发生强吸附。噻吩砜（ThO₂）的偶极矩（~4.8</w:t>
      </w:r>
      <w:r>
        <w:t xml:space="preserve"> </w:t>
      </w:r>
      <w:r>
        <w:rPr>
          <w:rFonts w:hint="eastAsia"/>
        </w:rPr>
        <w:t>D）远大于噻吩亚砜（~3.2</w:t>
      </w:r>
      <w:r>
        <w:t xml:space="preserve"> </w:t>
      </w:r>
      <w:r>
        <w:rPr>
          <w:rFonts w:hint="eastAsia"/>
        </w:rPr>
        <w:t>D）和原料噻吩（~0.6</w:t>
      </w:r>
      <w:r>
        <w:t xml:space="preserve"> </w:t>
      </w:r>
      <w:r>
        <w:rPr>
          <w:rFonts w:hint="eastAsia"/>
        </w:rPr>
        <w:t>D），其在水相中的溶解度（~5</w:t>
      </w:r>
      <w:r>
        <w:t xml:space="preserve"> </w:t>
      </w:r>
      <w:r>
        <w:rPr>
          <w:rFonts w:hint="eastAsia"/>
        </w:rPr>
        <w:t>g·L⁻¹）虽高于原料，但在非极性烃相和疏水性载体表面的分配系数仍然显著不利于完全脱除。</w:t>
      </w:r>
    </w:p>
    <w:p w14:paraId="71E90139">
      <w:pPr>
        <w:pStyle w:val="3"/>
      </w:pPr>
      <w:r>
        <w:rPr>
          <w:rFonts w:hint="eastAsia"/>
          <w:b/>
          <w:bCs/>
        </w:rPr>
        <w:t>聚合结焦的形成路径。</w:t>
      </w:r>
      <w:r>
        <w:t xml:space="preserve"> </w:t>
      </w:r>
      <w:r>
        <w:rPr>
          <w:rFonts w:hint="eastAsia"/>
        </w:rPr>
        <w:t>残留的亚砜/砜类化合物在氧化剂和活性金属中心的协同作用下，可进一步发生氧化聚合反应，生成高分子量的黑色聚合物沉积物（俗称”结焦”或”coke”）。其形成路径包括：①</w:t>
      </w:r>
      <w:r>
        <w:t xml:space="preserve"> </w:t>
      </w:r>
      <w:r>
        <w:rPr>
          <w:rFonts w:hint="eastAsia"/>
        </w:rPr>
        <w:t>亚砜的</w:t>
      </w:r>
      <w:r>
        <w:t xml:space="preserve"> α-C–H </w:t>
      </w:r>
      <w:r>
        <w:rPr>
          <w:rFonts w:hint="eastAsia"/>
        </w:rPr>
        <w:t>键被·OH</w:t>
      </w:r>
      <w:r>
        <w:t xml:space="preserve"> </w:t>
      </w:r>
      <w:r>
        <w:rPr>
          <w:rFonts w:hint="eastAsia"/>
        </w:rPr>
        <w:t>自由基夺取生成硫中心自由基（RS•），后者相互偶联形成二硫键交联的寡聚体；②</w:t>
      </w:r>
      <w:r>
        <w:t xml:space="preserve"> </w:t>
      </w:r>
      <w:r>
        <w:rPr>
          <w:rFonts w:hint="eastAsia"/>
        </w:rPr>
        <w:t>未完全氧化的噻吩环在强氧化条件下开环生成二羰基中间体，进一步缩聚为共轭聚合物。这种聚合结焦具有两个特征：一是沉积物分子量高、极性极强，难以通过常规溶剂洗脱再生；二是结焦产物覆盖活性位点的同时堵塞载体孔道，造成”活性位掩蔽”与”传质受限”的双重失活效应。</w:t>
      </w:r>
    </w:p>
    <w:p w14:paraId="27AD37B8">
      <w:pPr>
        <w:pStyle w:val="3"/>
      </w:pPr>
      <w:r>
        <w:rPr>
          <w:rFonts w:hint="eastAsia"/>
          <w:b/>
          <w:bCs/>
        </w:rPr>
        <w:t>载体孔结构的尺寸效应。</w:t>
      </w:r>
      <w:r>
        <w:t xml:space="preserve"> </w:t>
      </w:r>
      <w:r>
        <w:rPr>
          <w:rFonts w:hint="eastAsia"/>
        </w:rPr>
        <w:t>不同孔径分布的载体对结焦行为的敏感性存在显著差异。介孔载体（如</w:t>
      </w:r>
      <w:r>
        <w:t xml:space="preserve"> </w:t>
      </w:r>
      <w:r>
        <w:rPr>
          <w:rFonts w:hint="eastAsia"/>
        </w:rPr>
        <w:t>SBA-15，孔径</w:t>
      </w:r>
      <w:r>
        <w:t xml:space="preserve"> 5–15 </w:t>
      </w:r>
      <w:r>
        <w:rPr>
          <w:rFonts w:hint="eastAsia"/>
        </w:rPr>
        <w:t>nm）因孔道宽敞，结焦产物多沉积在孔道入口处形成”孔颈堵塞”，失活主要表现为初期活性快速下降后趋于平稳；微孔载体（如</w:t>
      </w:r>
      <w:r>
        <w:t xml:space="preserve"> </w:t>
      </w:r>
      <w:r>
        <w:rPr>
          <w:rFonts w:hint="eastAsia"/>
        </w:rPr>
        <w:t>HZSM-5，孔径</w:t>
      </w:r>
      <w:r>
        <w:t xml:space="preserve"> ~0.55 </w:t>
      </w:r>
      <w:r>
        <w:rPr>
          <w:rFonts w:hint="eastAsia"/>
        </w:rPr>
        <w:t>nm）则因孔道狭窄，结焦产物一旦形成便深入孔道内部，导致”整体孔道填充”式的渐进失活，再生难度更大。因此，在设计</w:t>
      </w:r>
      <w:r>
        <w:t xml:space="preserve"> CODS </w:t>
      </w:r>
      <w:r>
        <w:rPr>
          <w:rFonts w:hint="eastAsia"/>
        </w:rPr>
        <w:t>催化剂时，应根据目标硫化物的分子尺寸合理选择载体孔径——通常建议载体平均孔径</w:t>
      </w:r>
      <w:r>
        <w:t xml:space="preserve"> ≥ </w:t>
      </w:r>
      <w:r>
        <w:rPr>
          <w:rFonts w:hint="eastAsia"/>
        </w:rPr>
        <w:t>目标硫化物分子动力学直径的</w:t>
      </w:r>
      <w:r>
        <w:t xml:space="preserve"> 3–5 </w:t>
      </w:r>
      <w:r>
        <w:rPr>
          <w:rFonts w:hint="eastAsia"/>
        </w:rPr>
        <w:t>倍，以延缓结焦导致的传质恶化。</w:t>
      </w:r>
    </w:p>
    <w:bookmarkEnd w:id="13"/>
    <w:p w14:paraId="55583767">
      <w:pPr>
        <w:pStyle w:val="5"/>
      </w:pPr>
      <w:bookmarkStart w:id="14" w:name="氮化物毒化机理与抗毒化构效设计"/>
      <w:r>
        <w:t xml:space="preserve">4.2 </w:t>
      </w:r>
      <w:r>
        <w:rPr>
          <w:rFonts w:hint="eastAsia"/>
        </w:rPr>
        <w:t>氮化物毒化机理与抗毒化构效设计</w:t>
      </w:r>
    </w:p>
    <w:p w14:paraId="2E840E8B">
      <w:pPr>
        <w:pStyle w:val="23"/>
      </w:pPr>
      <w:r>
        <w:rPr>
          <w:rFonts w:hint="eastAsia"/>
          <w:b/>
          <w:bCs/>
        </w:rPr>
        <w:t>可逆毒化与不可逆毒化的区分。</w:t>
      </w:r>
      <w:r>
        <w:t xml:space="preserve"> </w:t>
      </w:r>
      <w:r>
        <w:rPr>
          <w:rFonts w:hint="eastAsia"/>
        </w:rPr>
        <w:t>含氮化合物对</w:t>
      </w:r>
      <w:r>
        <w:t xml:space="preserve"> CODS </w:t>
      </w:r>
      <w:r>
        <w:rPr>
          <w:rFonts w:hint="eastAsia"/>
        </w:rPr>
        <w:t>催化剂的毒化可分为可逆（暂时性）和不可逆（永久性）两种类型，其本质差异在于氮化物与活性位点的作用力类型和结合强度。</w:t>
      </w:r>
    </w:p>
    <w:p w14:paraId="6FF7EFA4">
      <w:pPr>
        <w:pStyle w:val="3"/>
      </w:pPr>
      <w:r>
        <w:rPr>
          <w:rFonts w:hint="eastAsia"/>
        </w:rPr>
        <w:t>可逆毒化主要发生在氮化物通过较弱的物理吸附（van</w:t>
      </w:r>
      <w:r>
        <w:t xml:space="preserve"> der Waals </w:t>
      </w:r>
      <w:r>
        <w:rPr>
          <w:rFonts w:hint="eastAsia"/>
        </w:rPr>
        <w:t>力，~10–20</w:t>
      </w:r>
      <w:r>
        <w:t xml:space="preserve"> </w:t>
      </w:r>
      <w:r>
        <w:rPr>
          <w:rFonts w:hint="eastAsia"/>
        </w:rPr>
        <w:t>kJ·mol⁻¹）或弱</w:t>
      </w:r>
      <w:r>
        <w:t xml:space="preserve"> Lewis </w:t>
      </w:r>
      <w:r>
        <w:rPr>
          <w:rFonts w:hint="eastAsia"/>
        </w:rPr>
        <w:t>配位（~30–50</w:t>
      </w:r>
      <w:r>
        <w:t xml:space="preserve"> </w:t>
      </w:r>
      <w:r>
        <w:rPr>
          <w:rFonts w:hint="eastAsia"/>
        </w:rPr>
        <w:t>kJ·mol⁻¹）占据活性位点的情形。例如，吡咯等非碱性氮化物在</w:t>
      </w:r>
      <w:r>
        <w:t xml:space="preserve"> WOₓ/SiO₂ </w:t>
      </w:r>
      <w:r>
        <w:rPr>
          <w:rFonts w:hint="eastAsia"/>
        </w:rPr>
        <w:t>表面的吸附主要依赖</w:t>
      </w:r>
      <w:r>
        <w:t xml:space="preserve"> N </w:t>
      </w:r>
      <w:r>
        <w:rPr>
          <w:rFonts w:hint="eastAsia"/>
        </w:rPr>
        <w:t>原子孤对电子与</w:t>
      </w:r>
      <w:r>
        <w:t xml:space="preserve"> W </w:t>
      </w:r>
      <w:r>
        <w:rPr>
          <w:rFonts w:hint="eastAsia"/>
        </w:rPr>
        <w:t>中心的弱配位，其吸附能在</w:t>
      </w:r>
      <w:r>
        <w:t xml:space="preserve"> 30–50 °C </w:t>
      </w:r>
      <w:r>
        <w:rPr>
          <w:rFonts w:hint="eastAsia"/>
        </w:rPr>
        <w:t>下可通过惰性气体吹扫或温和加热（&lt;</w:t>
      </w:r>
      <w:r>
        <w:t xml:space="preserve"> 150 </w:t>
      </w:r>
      <w:r>
        <w:rPr>
          <w:rFonts w:hint="eastAsia"/>
        </w:rPr>
        <w:t>°C）实现脱附，活性得以部分恢复。</w:t>
      </w:r>
    </w:p>
    <w:p w14:paraId="74CBEF97">
      <w:pPr>
        <w:pStyle w:val="3"/>
      </w:pPr>
      <w:r>
        <w:rPr>
          <w:rFonts w:hint="eastAsia"/>
        </w:rPr>
        <w:t>不可逆毒化则源于碱性氮化物（吡啶、喹啉等）与催化剂</w:t>
      </w:r>
      <w:r>
        <w:t xml:space="preserve"> Brønsted </w:t>
      </w:r>
      <w:r>
        <w:rPr>
          <w:rFonts w:hint="eastAsia"/>
        </w:rPr>
        <w:t>酸位或强</w:t>
      </w:r>
      <w:r>
        <w:t xml:space="preserve"> Lewis </w:t>
      </w:r>
      <w:r>
        <w:rPr>
          <w:rFonts w:hint="eastAsia"/>
        </w:rPr>
        <w:t>酸位之间的强酸碱反应或强配位键合（结合能</w:t>
      </w:r>
      <w:r>
        <w:t xml:space="preserve"> &gt; 80 </w:t>
      </w:r>
      <w:r>
        <w:rPr>
          <w:rFonts w:hint="eastAsia"/>
        </w:rPr>
        <w:t>kJ·mol⁻¹）。如前文所述，吡啶与</w:t>
      </w:r>
      <w:r>
        <w:t xml:space="preserve"> HPA </w:t>
      </w:r>
      <w:r>
        <w:rPr>
          <w:rFonts w:hint="eastAsia"/>
        </w:rPr>
        <w:t>的质子位发生酸碱中和生成稳定的吡啶鎓盐，该过程在热力学上几乎不可逆——即使在</w:t>
      </w:r>
      <w:r>
        <w:t xml:space="preserve"> 200 °C </w:t>
      </w:r>
      <w:r>
        <w:rPr>
          <w:rFonts w:hint="eastAsia"/>
        </w:rPr>
        <w:t>以上的高温惰性气氛下焙烧，吡啶鎓盐也会先分解为吡啶和</w:t>
      </w:r>
      <w:r>
        <w:t xml:space="preserve"> </w:t>
      </w:r>
      <w:r>
        <w:rPr>
          <w:rFonts w:hint="eastAsia"/>
        </w:rPr>
        <w:t>H₂O，但</w:t>
      </w:r>
      <w:r>
        <w:t xml:space="preserve"> HPA </w:t>
      </w:r>
      <w:r>
        <w:rPr>
          <w:rFonts w:hint="eastAsia"/>
        </w:rPr>
        <w:t>的质子位在分解过程中可能因局部</w:t>
      </w:r>
      <w:r>
        <w:t xml:space="preserve"> pH </w:t>
      </w:r>
      <w:r>
        <w:rPr>
          <w:rFonts w:hint="eastAsia"/>
        </w:rPr>
        <w:t>剧变而发生结构重排，导致部分</w:t>
      </w:r>
      <w:r>
        <w:t xml:space="preserve"> Keggin </w:t>
      </w:r>
      <w:r>
        <w:rPr>
          <w:rFonts w:hint="eastAsia"/>
        </w:rPr>
        <w:t>结构崩塌。</w:t>
      </w:r>
    </w:p>
    <w:p w14:paraId="6BAE5032">
      <w:pPr>
        <w:pStyle w:val="3"/>
      </w:pPr>
      <w:r>
        <w:rPr>
          <w:rFonts w:hint="eastAsia"/>
          <w:b/>
          <w:bCs/>
        </w:rPr>
        <w:t>抗毒化催化剂的构效设计原则。</w:t>
      </w:r>
      <w:r>
        <w:t xml:space="preserve"> </w:t>
      </w:r>
      <w:r>
        <w:rPr>
          <w:rFonts w:hint="eastAsia"/>
        </w:rPr>
        <w:t>针对氮化物毒化问题，当前研究提出了以下几条抗毒化催化剂设计策略：</w:t>
      </w:r>
    </w:p>
    <w:p w14:paraId="3C5C4C42">
      <w:pPr>
        <w:pStyle w:val="3"/>
      </w:pPr>
      <w:r>
        <w:rPr>
          <w:rFonts w:hint="eastAsia"/>
          <w:b/>
          <w:bCs/>
        </w:rPr>
        <w:t>策略一：空间位阻隔离法。</w:t>
      </w:r>
      <w:r>
        <w:t xml:space="preserve"> </w:t>
      </w:r>
      <w:r>
        <w:rPr>
          <w:rFonts w:hint="eastAsia"/>
        </w:rPr>
        <w:t>在活性金属中心周围引入大体积有机配体或构建限域微环境，使氮化物分子因空间位阻而无法接近活性位，而体积较小的硫化物分子仍可自由进入反应区域。例如，在</w:t>
      </w:r>
      <w:r>
        <w:t xml:space="preserve"> HPA </w:t>
      </w:r>
      <w:r>
        <w:rPr>
          <w:rFonts w:hint="eastAsia"/>
        </w:rPr>
        <w:t>的</w:t>
      </w:r>
      <w:r>
        <w:t xml:space="preserve"> Keggin </w:t>
      </w:r>
      <w:r>
        <w:rPr>
          <w:rFonts w:hint="eastAsia"/>
        </w:rPr>
        <w:t>阴离子外围包裹疏水性有机壳层（如硅烷化修饰），或通过分子筛的择形催化效应（shape-selective</w:t>
      </w:r>
      <w:r>
        <w:t xml:space="preserve"> </w:t>
      </w:r>
      <w:r>
        <w:rPr>
          <w:rFonts w:hint="eastAsia"/>
        </w:rPr>
        <w:t>catalysis）利用孔径筛选实现硫/氮分子的空间分辨。</w:t>
      </w:r>
    </w:p>
    <w:p w14:paraId="026D7EA2">
      <w:pPr>
        <w:pStyle w:val="3"/>
      </w:pPr>
      <w:r>
        <w:rPr>
          <w:rFonts w:hint="eastAsia"/>
          <w:b/>
          <w:bCs/>
        </w:rPr>
        <w:t>策略二：双功能位点协同法。</w:t>
      </w:r>
      <w:r>
        <w:t xml:space="preserve"> </w:t>
      </w:r>
      <w:r>
        <w:rPr>
          <w:rFonts w:hint="eastAsia"/>
        </w:rPr>
        <w:t>设计具有”酸位–氧化位”空间分离的双功能催化剂，其中</w:t>
      </w:r>
      <w:r>
        <w:t xml:space="preserve"> Brønsted </w:t>
      </w:r>
      <w:r>
        <w:rPr>
          <w:rFonts w:hint="eastAsia"/>
        </w:rPr>
        <w:t>酸位（如分子筛的硅铝骨架酸位）选择性吸附并固定碱性氮化物，而氧化位（如负载的</w:t>
      </w:r>
      <w:r>
        <w:t xml:space="preserve"> WOₓ </w:t>
      </w:r>
      <w:r>
        <w:rPr>
          <w:rFonts w:hint="eastAsia"/>
        </w:rPr>
        <w:t>或</w:t>
      </w:r>
      <w:r>
        <w:t xml:space="preserve"> </w:t>
      </w:r>
      <w:r>
        <w:rPr>
          <w:rFonts w:hint="eastAsia"/>
        </w:rPr>
        <w:t>HPA）专司硫化物氧化。通过调控酸位与氧化位的距离（通常</w:t>
      </w:r>
      <w:r>
        <w:t xml:space="preserve"> 2–10 nm </w:t>
      </w:r>
      <w:r>
        <w:rPr>
          <w:rFonts w:hint="eastAsia"/>
        </w:rPr>
        <w:t>为宜），既保证氮化物被有效隔离，又避免硫化物氧化产物扩散至酸位发生二次反应。</w:t>
      </w:r>
    </w:p>
    <w:p w14:paraId="53D9AA77">
      <w:pPr>
        <w:pStyle w:val="3"/>
      </w:pPr>
      <w:r>
        <w:rPr>
          <w:rFonts w:hint="eastAsia"/>
          <w:b/>
          <w:bCs/>
        </w:rPr>
        <w:t>策略三：氧化还原可调金属中心。</w:t>
      </w:r>
      <w:r>
        <w:t xml:space="preserve"> </w:t>
      </w:r>
      <w:r>
        <w:rPr>
          <w:rFonts w:hint="eastAsia"/>
        </w:rPr>
        <w:t>选择对氮化物配位能力弱但对硫化物氧化活性高的金属中心。研究表明，Nb⁵⁺、Zr⁴⁺、Ce⁴⁺</w:t>
      </w:r>
      <w:r>
        <w:t xml:space="preserve"> </w:t>
      </w:r>
      <w:r>
        <w:rPr>
          <w:rFonts w:hint="eastAsia"/>
        </w:rPr>
        <w:t>等金属离子对氮化物的</w:t>
      </w:r>
      <w:r>
        <w:t xml:space="preserve"> Lewis </w:t>
      </w:r>
      <w:r>
        <w:rPr>
          <w:rFonts w:hint="eastAsia"/>
        </w:rPr>
        <w:t>配位常数比</w:t>
      </w:r>
      <w:r>
        <w:t xml:space="preserve"> W⁶⁺、Mo⁶⁺ </w:t>
      </w:r>
      <w:r>
        <w:rPr>
          <w:rFonts w:hint="eastAsia"/>
        </w:rPr>
        <w:t>低</w:t>
      </w:r>
      <w:r>
        <w:t xml:space="preserve"> 1–2 </w:t>
      </w:r>
      <w:r>
        <w:rPr>
          <w:rFonts w:hint="eastAsia"/>
        </w:rPr>
        <w:t>个数量级，同时其对</w:t>
      </w:r>
      <w:r>
        <w:t xml:space="preserve"> H₂O₂ </w:t>
      </w:r>
      <w:r>
        <w:rPr>
          <w:rFonts w:hint="eastAsia"/>
        </w:rPr>
        <w:t>的过氧活化活性并不显著逊色。例如，Nb₂O₅/SiO₂</w:t>
      </w:r>
      <w:r>
        <w:t xml:space="preserve"> </w:t>
      </w:r>
      <w:r>
        <w:rPr>
          <w:rFonts w:hint="eastAsia"/>
        </w:rPr>
        <w:t>催化剂在含</w:t>
      </w:r>
      <w:r>
        <w:t xml:space="preserve"> 200 ppm </w:t>
      </w:r>
      <w:r>
        <w:rPr>
          <w:rFonts w:hint="eastAsia"/>
        </w:rPr>
        <w:t>吡啶的噻吩模型油中，脱硫率仍保持在</w:t>
      </w:r>
      <w:r>
        <w:t xml:space="preserve"> 85% </w:t>
      </w:r>
      <w:r>
        <w:rPr>
          <w:rFonts w:hint="eastAsia"/>
        </w:rPr>
        <w:t>以上，而同等条件下</w:t>
      </w:r>
      <w:r>
        <w:t xml:space="preserve"> WOₓ/SiO₂ </w:t>
      </w:r>
      <w:r>
        <w:rPr>
          <w:rFonts w:hint="eastAsia"/>
        </w:rPr>
        <w:t>的脱硫率仅</w:t>
      </w:r>
      <w:r>
        <w:t xml:space="preserve"> 35%。</w:t>
      </w:r>
    </w:p>
    <w:p w14:paraId="7DCD9AB7">
      <w:pPr>
        <w:pStyle w:val="3"/>
      </w:pPr>
      <w:r>
        <w:rPr>
          <w:rFonts w:hint="eastAsia"/>
          <w:b/>
          <w:bCs/>
        </w:rPr>
        <w:t>策略四：自再生酸性位点。</w:t>
      </w:r>
      <w:r>
        <w:t xml:space="preserve"> </w:t>
      </w:r>
      <w:r>
        <w:rPr>
          <w:rFonts w:hint="eastAsia"/>
        </w:rPr>
        <w:t>设计具有”质子海绵”效应的催化剂体系——在活性位附近引入弱碱性基团（如胺基、吡啶基），这些基团可选择性捕获渗入的碱性氮化物，防止其到达真正的酸性活性中心；当反应体系切换或通入酸性再生液时，被捕获的氮化物可被释放，实现活性位的自再生。</w:t>
      </w:r>
    </w:p>
    <w:bookmarkEnd w:id="14"/>
    <w:p w14:paraId="07748AE0">
      <w:pPr>
        <w:pStyle w:val="5"/>
      </w:pPr>
      <w:bookmarkStart w:id="15" w:name="催化剂再生策略"/>
      <w:r>
        <w:t xml:space="preserve">4.3 </w:t>
      </w:r>
      <w:r>
        <w:rPr>
          <w:rFonts w:hint="eastAsia"/>
        </w:rPr>
        <w:t>催化剂再生策略</w:t>
      </w:r>
    </w:p>
    <w:p w14:paraId="192FA45E">
      <w:pPr>
        <w:pStyle w:val="23"/>
      </w:pPr>
      <w:r>
        <w:rPr>
          <w:rFonts w:hint="eastAsia"/>
          <w:b/>
          <w:bCs/>
        </w:rPr>
        <w:t>物理再生。</w:t>
      </w:r>
      <w:r>
        <w:t xml:space="preserve"> </w:t>
      </w:r>
      <w:r>
        <w:rPr>
          <w:rFonts w:hint="eastAsia"/>
        </w:rPr>
        <w:t>通过高温焙烧（300–500</w:t>
      </w:r>
      <w:r>
        <w:t xml:space="preserve"> </w:t>
      </w:r>
      <w:r>
        <w:rPr>
          <w:rFonts w:hint="eastAsia"/>
        </w:rPr>
        <w:t>°C，空气气氛）氧化分解孔道内的有机结焦产物是</w:t>
      </w:r>
      <w:r>
        <w:t xml:space="preserve"> CODS </w:t>
      </w:r>
      <w:r>
        <w:rPr>
          <w:rFonts w:hint="eastAsia"/>
        </w:rPr>
        <w:t>催化剂最常用的物理再生方法。该方法对聚合结焦的清除效率可达</w:t>
      </w:r>
      <w:r>
        <w:t xml:space="preserve"> </w:t>
      </w:r>
      <w:r>
        <w:rPr>
          <w:rFonts w:hint="eastAsia"/>
        </w:rPr>
        <w:t>70%–90%，但对强吸附的砜类单体（如噻吩砜）清除效果有限——噻吩砜的脱附/分解温度超过</w:t>
      </w:r>
      <w:r>
        <w:t xml:space="preserve"> 500 </w:t>
      </w:r>
      <w:r>
        <w:rPr>
          <w:rFonts w:hint="eastAsia"/>
        </w:rPr>
        <w:t>°C，且在高温有氧条件下可能发生深度氧化生成</w:t>
      </w:r>
      <w:r>
        <w:t xml:space="preserve"> SO₂ </w:t>
      </w:r>
      <w:r>
        <w:rPr>
          <w:rFonts w:hint="eastAsia"/>
        </w:rPr>
        <w:t>和</w:t>
      </w:r>
      <w:r>
        <w:t xml:space="preserve"> </w:t>
      </w:r>
      <w:r>
        <w:rPr>
          <w:rFonts w:hint="eastAsia"/>
        </w:rPr>
        <w:t>CO₂，造成活性金属的还原和结构破坏。</w:t>
      </w:r>
    </w:p>
    <w:p w14:paraId="6BA5DBB6">
      <w:pPr>
        <w:pStyle w:val="3"/>
      </w:pPr>
      <w:r>
        <w:rPr>
          <w:rFonts w:hint="eastAsia"/>
          <w:b/>
          <w:bCs/>
        </w:rPr>
        <w:t>化学再生。</w:t>
      </w:r>
      <w:r>
        <w:t xml:space="preserve"> </w:t>
      </w:r>
      <w:r>
        <w:rPr>
          <w:rFonts w:hint="eastAsia"/>
        </w:rPr>
        <w:t>采用极性溶剂（如水、甲醇、乙腈）或稀酸/稀碱溶液浸泡洗涤，可有效溶解除去孔道内残留的亚砜/砜类单体。对于</w:t>
      </w:r>
      <w:r>
        <w:t xml:space="preserve"> HPA </w:t>
      </w:r>
      <w:r>
        <w:rPr>
          <w:rFonts w:hint="eastAsia"/>
        </w:rPr>
        <w:t>负载型催化剂，稀</w:t>
      </w:r>
      <w:r>
        <w:t xml:space="preserve"> H₂SO₄ </w:t>
      </w:r>
      <w:r>
        <w:rPr>
          <w:rFonts w:hint="eastAsia"/>
        </w:rPr>
        <w:t>溶液再生可同时实现氮化物脱附（酸性条件抑制吡啶的碱性配位）和</w:t>
      </w:r>
      <w:r>
        <w:t xml:space="preserve"> Keggin </w:t>
      </w:r>
      <w:r>
        <w:rPr>
          <w:rFonts w:hint="eastAsia"/>
        </w:rPr>
        <w:t>结构的修复（补充质子）。化学再生的优点在于条件温和、不损伤催化剂骨架，但再生液的处理和活性组分的回收是工程应用中的额外负担。</w:t>
      </w:r>
    </w:p>
    <w:p w14:paraId="47F0F8BF">
      <w:pPr>
        <w:pStyle w:val="3"/>
      </w:pPr>
      <w:r>
        <w:rPr>
          <w:rFonts w:hint="eastAsia"/>
          <w:b/>
          <w:bCs/>
        </w:rPr>
        <w:t>组合再生。</w:t>
      </w:r>
      <w:r>
        <w:t xml:space="preserve"> </w:t>
      </w:r>
      <w:r>
        <w:rPr>
          <w:rFonts w:hint="eastAsia"/>
        </w:rPr>
        <w:t>工业实践中最有效的再生策略通常是”化学洗涤</w:t>
      </w:r>
      <w:r>
        <w:t xml:space="preserve"> + </w:t>
      </w:r>
      <w:r>
        <w:rPr>
          <w:rFonts w:hint="eastAsia"/>
        </w:rPr>
        <w:t>高温焙烧”的组合流程：首先用极性溶剂浸泡去除可溶性氧化产物，然后在</w:t>
      </w:r>
      <w:r>
        <w:t xml:space="preserve"> 350–400 °C </w:t>
      </w:r>
      <w:r>
        <w:rPr>
          <w:rFonts w:hint="eastAsia"/>
        </w:rPr>
        <w:t>空气气氛下焙烧</w:t>
      </w:r>
      <w:r>
        <w:t xml:space="preserve"> 2–4 h </w:t>
      </w:r>
      <w:r>
        <w:rPr>
          <w:rFonts w:hint="eastAsia"/>
        </w:rPr>
        <w:t>分解残余结焦。实验表明，组合再生可使失活催化剂的活性恢复至新鲜催化剂的</w:t>
      </w:r>
      <w:r>
        <w:t xml:space="preserve"> </w:t>
      </w:r>
      <w:r>
        <w:rPr>
          <w:rFonts w:hint="eastAsia"/>
        </w:rPr>
        <w:t>90%–95%，且可循环再生</w:t>
      </w:r>
      <w:r>
        <w:t xml:space="preserve"> 5–8 </w:t>
      </w:r>
      <w:r>
        <w:rPr>
          <w:rFonts w:hint="eastAsia"/>
        </w:rPr>
        <w:t>次后活性衰减不超过</w:t>
      </w:r>
      <w:r>
        <w:t xml:space="preserve"> 15%。</w:t>
      </w:r>
    </w:p>
    <w:bookmarkEnd w:id="9"/>
    <w:bookmarkEnd w:id="15"/>
    <w:p w14:paraId="2A754947">
      <w:pPr>
        <w:pStyle w:val="4"/>
        <w:rPr>
          <w:rFonts w:hint="eastAsia"/>
        </w:rPr>
      </w:pPr>
      <w:bookmarkStart w:id="16" w:name="结论与展望"/>
    </w:p>
    <w:p w14:paraId="764BDA86">
      <w:pPr>
        <w:pStyle w:val="4"/>
        <w:rPr>
          <w:rFonts w:hint="eastAsia"/>
        </w:rPr>
      </w:pPr>
    </w:p>
    <w:p w14:paraId="70575D95">
      <w:pPr>
        <w:pStyle w:val="4"/>
        <w:rPr>
          <w:rFonts w:hint="eastAsia"/>
        </w:rPr>
      </w:pPr>
    </w:p>
    <w:p w14:paraId="4F662B12">
      <w:pPr>
        <w:pStyle w:val="3"/>
        <w:rPr>
          <w:rFonts w:hint="eastAsia"/>
        </w:rPr>
      </w:pPr>
    </w:p>
    <w:p w14:paraId="0C085A38">
      <w:pPr>
        <w:pStyle w:val="3"/>
        <w:rPr>
          <w:rFonts w:hint="eastAsia"/>
        </w:rPr>
      </w:pPr>
    </w:p>
    <w:p w14:paraId="1300D3C2">
      <w:pPr>
        <w:pStyle w:val="3"/>
        <w:rPr>
          <w:rFonts w:hint="eastAsia"/>
        </w:rPr>
      </w:pPr>
    </w:p>
    <w:p w14:paraId="55938A52">
      <w:pPr>
        <w:pStyle w:val="3"/>
        <w:rPr>
          <w:rFonts w:hint="eastAsia"/>
        </w:rPr>
      </w:pPr>
    </w:p>
    <w:p w14:paraId="6701BC68">
      <w:pPr>
        <w:pStyle w:val="3"/>
        <w:rPr>
          <w:rFonts w:hint="eastAsia"/>
        </w:rPr>
      </w:pPr>
    </w:p>
    <w:p w14:paraId="261CFA5C">
      <w:pPr>
        <w:pStyle w:val="3"/>
        <w:rPr>
          <w:rFonts w:hint="eastAsia"/>
        </w:rPr>
      </w:pPr>
    </w:p>
    <w:p w14:paraId="3AB877EB">
      <w:pPr>
        <w:pStyle w:val="3"/>
        <w:rPr>
          <w:rFonts w:hint="eastAsia"/>
        </w:rPr>
      </w:pPr>
    </w:p>
    <w:p w14:paraId="335B21D9">
      <w:pPr>
        <w:pStyle w:val="4"/>
      </w:pPr>
      <w:r>
        <w:rPr>
          <w:rFonts w:hint="eastAsia"/>
        </w:rPr>
        <w:t>结论与展望</w:t>
      </w:r>
    </w:p>
    <w:p w14:paraId="1A39D435">
      <w:pPr>
        <w:pStyle w:val="5"/>
      </w:pPr>
      <w:bookmarkStart w:id="17" w:name="从理论模型向工业实际的跨越瓶颈"/>
      <w:r>
        <w:t xml:space="preserve">5.1 </w:t>
      </w:r>
      <w:r>
        <w:rPr>
          <w:rFonts w:hint="eastAsia"/>
        </w:rPr>
        <w:t>从理论模型向工业实际的跨越瓶颈</w:t>
      </w:r>
    </w:p>
    <w:p w14:paraId="5DE9D555">
      <w:pPr>
        <w:pStyle w:val="23"/>
      </w:pPr>
      <w:r>
        <w:rPr>
          <w:rFonts w:hint="eastAsia"/>
        </w:rPr>
        <w:t>本文系统综述了面向煤制气副产轻烃深度除臭的负载型催化剂氧化机制，从单分子活化的微观机理到真实油品中多元硫/氮共转化网络，构建了较为完整的理论框架。然而，必须清醒认识到，当前研究从”理想化的单分子模型体系”向”复杂的工业实际体系”的跨越仍面临诸多瓶颈：</w:t>
      </w:r>
    </w:p>
    <w:p w14:paraId="4015DB3F">
      <w:pPr>
        <w:pStyle w:val="3"/>
      </w:pPr>
      <w:r>
        <w:rPr>
          <w:rFonts w:hint="eastAsia"/>
          <w:b/>
          <w:bCs/>
        </w:rPr>
        <w:t>瓶颈一：模型化合物与实际油品的”活性鸿沟”。</w:t>
      </w:r>
      <w:r>
        <w:t xml:space="preserve"> </w:t>
      </w:r>
      <w:r>
        <w:rPr>
          <w:rFonts w:hint="eastAsia"/>
        </w:rPr>
        <w:t>绝大多数</w:t>
      </w:r>
      <w:r>
        <w:t xml:space="preserve"> CODS </w:t>
      </w:r>
      <w:r>
        <w:rPr>
          <w:rFonts w:hint="eastAsia"/>
        </w:rPr>
        <w:t>研究基于单一硫化物（如</w:t>
      </w:r>
      <w:r>
        <w:t xml:space="preserve"> </w:t>
      </w:r>
      <w:r>
        <w:rPr>
          <w:rFonts w:hint="eastAsia"/>
        </w:rPr>
        <w:t>DBT）在正辛烷或十六烷中的模型溶液，其硫含量通常在几百至几千</w:t>
      </w:r>
      <w:r>
        <w:t xml:space="preserve"> ppm </w:t>
      </w:r>
      <w:r>
        <w:rPr>
          <w:rFonts w:hint="eastAsia"/>
        </w:rPr>
        <w:t>范围。而煤制气副产轻烃中的硫化物种类多达十余种、浓度跨度从</w:t>
      </w:r>
      <w:r>
        <w:t xml:space="preserve"> ppb </w:t>
      </w:r>
      <w:r>
        <w:rPr>
          <w:rFonts w:hint="eastAsia"/>
        </w:rPr>
        <w:t>到数百</w:t>
      </w:r>
      <w:r>
        <w:t xml:space="preserve"> </w:t>
      </w:r>
      <w:r>
        <w:rPr>
          <w:rFonts w:hint="eastAsia"/>
        </w:rPr>
        <w:t>ppm，且伴随烯烃、芳烃、氮化物和微量水分的复杂基质。模型体系中获得的氧化速率常数和选择性规律在实际体系中往往发生显著偏移，这种”活性鸿沟”限制了实验室成果的工业化移植。</w:t>
      </w:r>
    </w:p>
    <w:p w14:paraId="25689642">
      <w:pPr>
        <w:pStyle w:val="3"/>
      </w:pPr>
      <w:r>
        <w:rPr>
          <w:rFonts w:hint="eastAsia"/>
          <w:b/>
          <w:bCs/>
        </w:rPr>
        <w:t>瓶颈二：单分子动力学与多组分共转化动力学的”维度跃迁”难题。</w:t>
      </w:r>
      <w:r>
        <w:t xml:space="preserve"> </w:t>
      </w:r>
      <w:r>
        <w:rPr>
          <w:rFonts w:hint="eastAsia"/>
        </w:rPr>
        <w:t>单分子层面的</w:t>
      </w:r>
      <w:r>
        <w:t xml:space="preserve"> DFT </w:t>
      </w:r>
      <w:r>
        <w:rPr>
          <w:rFonts w:hint="eastAsia"/>
        </w:rPr>
        <w:t>计算和动力学建模已相当成熟，但将这些微观信息扩展到包含数十种组分、上百个基元反应的多组分共转化网络，在计算成本和数值稳定性上仍面临巨大挑战。目前尚缺乏一套能够统一描述单分子活化与多组分竞争的跨尺度动力学模型。</w:t>
      </w:r>
    </w:p>
    <w:p w14:paraId="00DB34D7">
      <w:pPr>
        <w:pStyle w:val="3"/>
      </w:pPr>
      <w:r>
        <w:rPr>
          <w:rFonts w:hint="eastAsia"/>
          <w:b/>
          <w:bCs/>
        </w:rPr>
        <w:t>瓶颈三：氧化剂成本与过程经济性的”绿色悖论”。</w:t>
      </w:r>
      <w:r>
        <w:t xml:space="preserve"> H₂O₂ </w:t>
      </w:r>
      <w:r>
        <w:rPr>
          <w:rFonts w:hint="eastAsia"/>
        </w:rPr>
        <w:t>作为</w:t>
      </w:r>
      <w:r>
        <w:t xml:space="preserve"> CODS </w:t>
      </w:r>
      <w:r>
        <w:rPr>
          <w:rFonts w:hint="eastAsia"/>
        </w:rPr>
        <w:t>的首选氧化剂虽然环境友好、选择性高，但其制备成本（~300–500</w:t>
      </w:r>
      <w:r>
        <w:t xml:space="preserve"> </w:t>
      </w:r>
      <w:r>
        <w:rPr>
          <w:rFonts w:hint="eastAsia"/>
        </w:rPr>
        <w:t>美元/吨</w:t>
      </w:r>
      <w:r>
        <w:t xml:space="preserve"> 50% </w:t>
      </w:r>
      <w:r>
        <w:rPr>
          <w:rFonts w:hint="eastAsia"/>
        </w:rPr>
        <w:t>水溶液）显著高于</w:t>
      </w:r>
      <w:r>
        <w:t xml:space="preserve"> HDS </w:t>
      </w:r>
      <w:r>
        <w:rPr>
          <w:rFonts w:hint="eastAsia"/>
        </w:rPr>
        <w:t>所需的氢气。在大规模工业应用中，H₂O₂</w:t>
      </w:r>
      <w:r>
        <w:t xml:space="preserve"> </w:t>
      </w:r>
      <w:r>
        <w:rPr>
          <w:rFonts w:hint="eastAsia"/>
        </w:rPr>
        <w:t>的有效利用率（定义为参与硫化物氧化的摩尔分数）通常不足</w:t>
      </w:r>
      <w:r>
        <w:t xml:space="preserve"> </w:t>
      </w:r>
      <w:r>
        <w:rPr>
          <w:rFonts w:hint="eastAsia"/>
        </w:rPr>
        <w:t>60%，大量氧化剂被副反应消耗或随水相排放，这不仅增加了运行成本，也带来了环保压力。开发低成本、高效率、可循环的氧化剂体系是</w:t>
      </w:r>
      <w:r>
        <w:t xml:space="preserve"> CODS </w:t>
      </w:r>
      <w:r>
        <w:rPr>
          <w:rFonts w:hint="eastAsia"/>
        </w:rPr>
        <w:t>技术工业化的另一大瓶颈。</w:t>
      </w:r>
    </w:p>
    <w:bookmarkEnd w:id="17"/>
    <w:p w14:paraId="5851240C">
      <w:pPr>
        <w:pStyle w:val="5"/>
      </w:pPr>
      <w:bookmarkStart w:id="18" w:name="未来高选择性负载型催化剂的设计方向"/>
      <w:r>
        <w:t xml:space="preserve">5.2 </w:t>
      </w:r>
      <w:r>
        <w:rPr>
          <w:rFonts w:hint="eastAsia"/>
        </w:rPr>
        <w:t>未来高选择性负载型催化剂的设计方向</w:t>
      </w:r>
    </w:p>
    <w:p w14:paraId="2335D219">
      <w:pPr>
        <w:pStyle w:val="23"/>
      </w:pPr>
      <w:r>
        <w:rPr>
          <w:rFonts w:hint="eastAsia"/>
        </w:rPr>
        <w:t>面对上述瓶颈，未来抗氮、抗烯烃干扰的高选择性负载型催化剂的设计应聚焦以下前沿方向：</w:t>
      </w:r>
    </w:p>
    <w:p w14:paraId="475D66CB">
      <w:pPr>
        <w:pStyle w:val="3"/>
      </w:pPr>
      <w:r>
        <w:rPr>
          <w:rFonts w:hint="eastAsia"/>
          <w:b/>
          <w:bCs/>
        </w:rPr>
        <w:t>方向一：单原子催化（Single-Atom</w:t>
      </w:r>
      <w:r>
        <w:rPr>
          <w:b/>
          <w:bCs/>
        </w:rPr>
        <w:t xml:space="preserve"> Catalysis, </w:t>
      </w:r>
      <w:r>
        <w:rPr>
          <w:rFonts w:hint="eastAsia"/>
          <w:b/>
          <w:bCs/>
        </w:rPr>
        <w:t>SAC）。</w:t>
      </w:r>
      <w:r>
        <w:t xml:space="preserve"> </w:t>
      </w:r>
      <w:r>
        <w:rPr>
          <w:rFonts w:hint="eastAsia"/>
        </w:rPr>
        <w:t>将活性金属以孤立原子形式分散在载体表面，实现</w:t>
      </w:r>
      <w:r>
        <w:t xml:space="preserve"> 100% </w:t>
      </w:r>
      <w:r>
        <w:rPr>
          <w:rFonts w:hint="eastAsia"/>
        </w:rPr>
        <w:t>的原子利用率和均一的活性位点几何构型。单原子催化剂在</w:t>
      </w:r>
      <w:r>
        <w:t xml:space="preserve"> CODS </w:t>
      </w:r>
      <w:r>
        <w:rPr>
          <w:rFonts w:hint="eastAsia"/>
        </w:rPr>
        <w:t>领域的独特优势在于：①</w:t>
      </w:r>
      <w:r>
        <w:t xml:space="preserve"> </w:t>
      </w:r>
      <w:r>
        <w:rPr>
          <w:rFonts w:hint="eastAsia"/>
        </w:rPr>
        <w:t>孤立金属中心的配位环境可通过载体精确调控，实现”一金属多位点”的定制化设计；②</w:t>
      </w:r>
      <w:r>
        <w:t xml:space="preserve"> </w:t>
      </w:r>
      <w:r>
        <w:rPr>
          <w:rFonts w:hint="eastAsia"/>
        </w:rPr>
        <w:t>单原子位点的电子密度分布均匀，有利于提高对硫化物氧化的选择性、抑制烯烃环氧化等副反应；③</w:t>
      </w:r>
      <w:r>
        <w:t xml:space="preserve"> </w:t>
      </w:r>
      <w:r>
        <w:rPr>
          <w:rFonts w:hint="eastAsia"/>
        </w:rPr>
        <w:t>单原子位点对氮化物毒化的敏感度可通过配位数的微调实现”钝化”。目前，W₁/SiO₂、Mo₁-TiO₂、V₁-Hβ</w:t>
      </w:r>
      <w:r>
        <w:t xml:space="preserve"> </w:t>
      </w:r>
      <w:r>
        <w:rPr>
          <w:rFonts w:hint="eastAsia"/>
        </w:rPr>
        <w:t>等单原子</w:t>
      </w:r>
      <w:r>
        <w:t xml:space="preserve"> CODS </w:t>
      </w:r>
      <w:r>
        <w:rPr>
          <w:rFonts w:hint="eastAsia"/>
        </w:rPr>
        <w:t>催化剂已在模型体系中展现出优于传统纳米颗粒催化剂的活性和选择性，但其在含氮、含烯烃真实体系中的长期稳定性仍需系统评估。</w:t>
      </w:r>
    </w:p>
    <w:p w14:paraId="4DE0746A">
      <w:pPr>
        <w:pStyle w:val="3"/>
      </w:pPr>
      <w:r>
        <w:rPr>
          <w:rFonts w:hint="eastAsia"/>
          <w:b/>
          <w:bCs/>
        </w:rPr>
        <w:t>方向二：空间限域催化（Confined</w:t>
      </w:r>
      <w:r>
        <w:rPr>
          <w:b/>
          <w:bCs/>
        </w:rPr>
        <w:t xml:space="preserve"> </w:t>
      </w:r>
      <w:r>
        <w:rPr>
          <w:rFonts w:hint="eastAsia"/>
          <w:b/>
          <w:bCs/>
        </w:rPr>
        <w:t>Catalysis）。</w:t>
      </w:r>
      <w:r>
        <w:t xml:space="preserve"> </w:t>
      </w:r>
      <w:r>
        <w:rPr>
          <w:rFonts w:hint="eastAsia"/>
        </w:rPr>
        <w:t>利用分子筛、金属有机框架（MOF）、共价有机框架（COF）等具有规则纳米孔道的材料，将活性中心限域在亚纳米尺度的孔腔内，通过空间几何约束实现对底物分子的选择性识别。例如，ZIF-8</w:t>
      </w:r>
      <w:r>
        <w:t xml:space="preserve"> </w:t>
      </w:r>
      <w:r>
        <w:rPr>
          <w:rFonts w:hint="eastAsia"/>
        </w:rPr>
        <w:t>的孔口直径（~3.4</w:t>
      </w:r>
      <w:r>
        <w:t xml:space="preserve"> </w:t>
      </w:r>
      <w:r>
        <w:rPr>
          <w:rFonts w:hint="eastAsia"/>
        </w:rPr>
        <w:t>Å）允许噻吩分子（~5.8</w:t>
      </w:r>
      <w:r>
        <w:t xml:space="preserve"> </w:t>
      </w:r>
      <w:r>
        <w:rPr>
          <w:rFonts w:hint="eastAsia"/>
        </w:rPr>
        <w:t>Å）以侧向构型进入，而更大的</w:t>
      </w:r>
      <w:r>
        <w:t xml:space="preserve"> DBT </w:t>
      </w:r>
      <w:r>
        <w:rPr>
          <w:rFonts w:hint="eastAsia"/>
        </w:rPr>
        <w:t>分子（~7.2</w:t>
      </w:r>
      <w:r>
        <w:t xml:space="preserve"> </w:t>
      </w:r>
      <w:r>
        <w:rPr>
          <w:rFonts w:hint="eastAsia"/>
        </w:rPr>
        <w:t>Å）则受到不同程度的空间阻碍——这种”孔径筛分”效应可被用来调控不同硫化物的相对氧化速率。更先进的设计是将活性中心嵌入</w:t>
      </w:r>
      <w:r>
        <w:t xml:space="preserve"> MOF </w:t>
      </w:r>
      <w:r>
        <w:rPr>
          <w:rFonts w:hint="eastAsia"/>
        </w:rPr>
        <w:t>的笼状空腔（如</w:t>
      </w:r>
      <w:r>
        <w:t xml:space="preserve"> </w:t>
      </w:r>
      <w:r>
        <w:rPr>
          <w:rFonts w:hint="eastAsia"/>
        </w:rPr>
        <w:t>UiO-66、HKUST-1）中，利用笼壁的疏水/亲水平衡实现对目标底物的”分子级富集”，同时阻挡水分子和极性氮化物的干扰。</w:t>
      </w:r>
    </w:p>
    <w:p w14:paraId="1F54E636">
      <w:pPr>
        <w:pStyle w:val="3"/>
      </w:pPr>
      <w:r>
        <w:rPr>
          <w:rFonts w:hint="eastAsia"/>
          <w:b/>
          <w:bCs/>
        </w:rPr>
        <w:t>方向三：仿生催化与酶启发自组装体系。</w:t>
      </w:r>
      <w:r>
        <w:t xml:space="preserve"> </w:t>
      </w:r>
      <w:r>
        <w:rPr>
          <w:rFonts w:hint="eastAsia"/>
        </w:rPr>
        <w:t>自然界中的加氧酶（如细胞色素</w:t>
      </w:r>
      <w:r>
        <w:t xml:space="preserve"> </w:t>
      </w:r>
      <w:r>
        <w:rPr>
          <w:rFonts w:hint="eastAsia"/>
        </w:rPr>
        <w:t>P450）能够在常温常压下以极高的选择性催化含硫氨基酸的氧化脱硫，其核心机制在于酶活性中心的”口袋型”疏水微环境和精确的配位几何。借鉴这一思路，设计具有”分子口袋”特征的仿生催化剂——通过有机配体自组装形成具有特定孔径和极性的纳米笼或囊泡结构，将活性金属中心包裹在疏水性内核中，使其仅能选择性结合疏水性硫化物分子，而排斥亲水性氮化物和水分。这类仿生体系在实验室尺度已展现出对</w:t>
      </w:r>
      <w:r>
        <w:t xml:space="preserve"> DBT </w:t>
      </w:r>
      <w:r>
        <w:rPr>
          <w:rFonts w:hint="eastAsia"/>
        </w:rPr>
        <w:t>的超高选择性（S/N</w:t>
      </w:r>
      <w:r>
        <w:t xml:space="preserve"> </w:t>
      </w:r>
      <w:r>
        <w:rPr>
          <w:rFonts w:hint="eastAsia"/>
        </w:rPr>
        <w:t>原子比</w:t>
      </w:r>
      <w:r>
        <w:t xml:space="preserve"> &gt; 100 </w:t>
      </w:r>
      <w:r>
        <w:rPr>
          <w:rFonts w:hint="eastAsia"/>
        </w:rPr>
        <w:t>的模型油中脱硫率</w:t>
      </w:r>
      <w:r>
        <w:t xml:space="preserve"> &gt; </w:t>
      </w:r>
      <w:r>
        <w:rPr>
          <w:rFonts w:hint="eastAsia"/>
        </w:rPr>
        <w:t>95%），但如何实现大规模可控制备和长期稳定性仍是亟待解决的工程挑战。</w:t>
      </w:r>
    </w:p>
    <w:p w14:paraId="0AB3EA7D">
      <w:pPr>
        <w:pStyle w:val="3"/>
      </w:pPr>
      <w:r>
        <w:rPr>
          <w:rFonts w:hint="eastAsia"/>
          <w:b/>
          <w:bCs/>
        </w:rPr>
        <w:t>方向四：智能响应型催化剂。</w:t>
      </w:r>
      <w:r>
        <w:t xml:space="preserve"> </w:t>
      </w:r>
      <w:r>
        <w:rPr>
          <w:rFonts w:hint="eastAsia"/>
        </w:rPr>
        <w:t>开发对外界刺激（pH、温度、光、电场）具有响应能力的”智能”催化剂，使其在反应条件下保持高活性，在失活后可通过外部刺激触发原位再生。例如，光响应型</w:t>
      </w:r>
      <w:r>
        <w:t xml:space="preserve"> TiO₂ </w:t>
      </w:r>
      <w:r>
        <w:rPr>
          <w:rFonts w:hint="eastAsia"/>
        </w:rPr>
        <w:t>基催化剂可在可见光激发下产生电子–空穴对，驱动</w:t>
      </w:r>
      <w:r>
        <w:t xml:space="preserve"> H₂O₂ </w:t>
      </w:r>
      <w:r>
        <w:rPr>
          <w:rFonts w:hint="eastAsia"/>
        </w:rPr>
        <w:t>的原位活化和硫化物的光催化氧化；电场响应型</w:t>
      </w:r>
      <w:r>
        <w:t xml:space="preserve"> HPA </w:t>
      </w:r>
      <w:r>
        <w:rPr>
          <w:rFonts w:hint="eastAsia"/>
        </w:rPr>
        <w:t>复合膜催化剂则可通过施加微弱电场调控</w:t>
      </w:r>
      <w:r>
        <w:t xml:space="preserve"> HPA </w:t>
      </w:r>
      <w:r>
        <w:rPr>
          <w:rFonts w:hint="eastAsia"/>
        </w:rPr>
        <w:t>质子的迁移速率，实现对氧化剂消耗速率的动态匹配。这类智能催化剂代表了</w:t>
      </w:r>
      <w:r>
        <w:t xml:space="preserve"> CODS </w:t>
      </w:r>
      <w:r>
        <w:rPr>
          <w:rFonts w:hint="eastAsia"/>
        </w:rPr>
        <w:t>技术从”静态催化”向”动态自适应催化”范式转变的前沿方向。</w:t>
      </w:r>
    </w:p>
    <w:bookmarkEnd w:id="18"/>
    <w:p w14:paraId="3DCFFCC1">
      <w:pPr>
        <w:pStyle w:val="5"/>
      </w:pPr>
      <w:bookmarkStart w:id="19" w:name="总结"/>
      <w:r>
        <w:t xml:space="preserve">5.3 </w:t>
      </w:r>
      <w:r>
        <w:rPr>
          <w:rFonts w:hint="eastAsia"/>
        </w:rPr>
        <w:t>总结</w:t>
      </w:r>
    </w:p>
    <w:p w14:paraId="5CA3BE74">
      <w:pPr>
        <w:pStyle w:val="23"/>
      </w:pPr>
      <w:r>
        <w:rPr>
          <w:rFonts w:hint="eastAsia"/>
        </w:rPr>
        <w:t>煤制气副产轻烃的深度除臭是保障下游化工高值化利用和满足环保法规的关键环节。负载型催化剂催化选择性氧化脱硫（CODS）凭借温和的反应条件、优异的脱硫选择性和对噻吩类硫化物的强脱除能力，已成为替代传统加氢脱硫（HDS）的有力候选技术。本文从单分子活化机制出发，系统构建了”活性中心构建–氧化剂活化–单分子反应动力学–多组分共转化网络–基质效应–失活再生”的完整理论链条，并展望了单原子催化、空间限域催化、仿生催化和智能响应催化等前沿设计方向。未来研究应在深化多组分竞争吸附和共转化网络机理的基础上，加强模型体系与实际油品的桥梁构建，推动</w:t>
      </w:r>
      <w:r>
        <w:t xml:space="preserve"> CODS </w:t>
      </w:r>
      <w:r>
        <w:rPr>
          <w:rFonts w:hint="eastAsia"/>
        </w:rPr>
        <w:t>技术从实验室走向煤制气产业的规模化应用。</w:t>
      </w:r>
    </w:p>
    <w:bookmarkEnd w:id="0"/>
    <w:bookmarkEnd w:id="16"/>
    <w:bookmarkEnd w:id="1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21156139"/>
    <w:rsid w:val="78AA41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3367</Words>
  <Characters>3820</Characters>
  <Lines>12</Lines>
  <Paragraphs>8</Paragraphs>
  <TotalTime>0</TotalTime>
  <ScaleCrop>false</ScaleCrop>
  <LinksUpToDate>false</LinksUpToDate>
  <CharactersWithSpaces>3963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2026-07-03T15:53:00Z</dcterms:created>
  <dc:creator>路逍遥</dc:creator>
  <cp:lastModifiedBy>路逍遥</cp:lastModifiedBy>
  <dcterms:modified xsi:type="dcterms:W3CDTF">2026-07-03T15:57:14Z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eyJoZGlkIjoiMzEzMGJkOTVhODA1MDRjMzMyYzBjMDA4ODViN2RjYzMiLCJ1c2VySWQiOiI4OTY1NzM4ODEifQ==</vt:lpwstr>
  </property>
  <property fmtid="{D5CDD505-2E9C-101B-9397-08002B2CF9AE}" pid="3" name="KSOProductBuildVer">
    <vt:lpwstr>2052-12.1.0.26895</vt:lpwstr>
  </property>
  <property fmtid="{D5CDD505-2E9C-101B-9397-08002B2CF9AE}" pid="4" name="ICV">
    <vt:lpwstr>C35B721735114A908CF087B755FA4DE8_12</vt:lpwstr>
  </property>
</Properties>
</file>