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25ba9606314690" /></Relationships>
</file>

<file path=word/document.xml><?xml version="1.0" encoding="utf-8"?>
<w:document xmlns:w="http://schemas.openxmlformats.org/wordprocessingml/2006/main">
  <w:body>
    <w:p>
      <w:pPr>
        <w:spacing w:before="3400" w:after="0" w:line="240" w:lineRule="auto"/>
      </w:pPr>
    </w:p>
    <w:p>
      <w:pPr>
        <w:jc w:val="center"/>
        <w:spacing w:before="0" w:after="480" w:line="240" w:lineRule="auto"/>
      </w:pPr>
      <w:r>
        <w:rPr>
          <w:rFonts w:ascii="Arial" w:hAnsi="Arial" w:eastAsia="Microsoft YaHei"/>
          <w:sz w:val="68"/>
          <w:color w:val="1B4332"/>
          <w:b/>
        </w:rPr>
        <w:t>Operations Manual</w:t>
      </w:r>
    </w:p>
    <w:p>
      <w:pPr>
        <w:jc w:val="center"/>
        <w:spacing w:before="0" w:after="160" w:line="240" w:lineRule="auto"/>
      </w:pPr>
      <w:r>
        <w:rPr>
          <w:rFonts w:ascii="Arial" w:hAnsi="Arial" w:eastAsia="Microsoft YaHei"/>
          <w:sz w:val="32"/>
          <w:color w:val="95A5A6"/>
        </w:rPr>
        <w:t>Deployment, Verification and Incident Handling</w:t>
      </w:r>
    </w:p>
    <w:p>
      <w:pPr>
        <w:spacing w:before="800" w:after="0" w:line="240" w:lineRule="auto"/>
      </w:pPr>
    </w:p>
    <w:p>
      <w:pPr>
        <w:jc w:val="center"/>
      </w:pPr>
      <w:r>
        <w:rPr>
          <w:rFonts w:ascii="Arial" w:hAnsi="Arial" w:eastAsia="Microsoft YaHei"/>
          <w:sz w:val="22"/>
          <w:color w:val="95A5A6"/>
        </w:rPr>
        <w:t>Prepared 2026-03-09</w:t>
      </w:r>
    </w:p>
    <w:p>
      <w:r>
        <w:br w:type="page"/>
      </w:r>
    </w:p>
    <w:p>
      <w:pPr>
        <w:spacing w:before="0" w:after="280" w:line="240" w:lineRule="auto"/>
      </w:pPr>
      <w:r>
        <w:rPr>
          <w:rFonts w:ascii="Arial" w:hAnsi="Arial" w:eastAsia="Microsoft YaHei"/>
          <w:sz w:val="44"/>
          <w:color w:val="1B4332"/>
          <w:b/>
        </w:rPr>
        <w:t>Table of Contents</w:t>
      </w:r>
    </w:p>
    <w:p>
      <w:fldSimple w:instr=" TOC \o &quot;1-3&quot; \h \z \u "/>
    </w:p>
    <w:p>
      <w:pPr>
        <w:spacing w:before="120" w:after="160" w:line="240" w:lineRule="auto"/>
      </w:pPr>
      <w:r>
        <w:rPr>
          <w:rFonts w:ascii="Arial" w:hAnsi="Arial" w:eastAsia="Microsoft YaHei"/>
          <w:sz w:val="18"/>
          <w:color w:val="95A5A6"/>
        </w:rPr>
        <w:t>Tip: If the page numbers are stale, update the TOC field after opening the file.</w:t>
      </w:r>
    </w:p>
    <w:p>
      <w:r>
        <w:br w:type="page"/>
      </w:r>
    </w:p>
    <w:p>
      <w:pPr>
        <w:pStyle w:val="Heading1"/>
        <w:outlineLvl w:val="0"/>
      </w:pPr>
      <w:bookmarkStart w:name="Specifications" w:id="1"/>
      <w:r>
        <w:rPr>
          <w:rFonts w:ascii="Arial" w:hAnsi="Arial" w:eastAsia="Microsoft YaHei"/>
          <w:sz w:val="36"/>
          <w:color w:val="1B4332"/>
          <w:b/>
        </w:rPr>
        <w:t>Technical Baseline</w:t>
      </w:r>
      <w:bookmarkEnd w:id="1"/>
    </w:p>
    <w:tbl>
      <w:tblPr>
        <w:tblW w:w="0" w:type="auto"/>
        <w:tblLayout w:type="fixed"/>
        <w:tblBorders>
          <w:top w:val="single" w:color="B7B7A4" w:sz="12"/>
          <w:bottom w:val="single" w:color="B7B7A4" w:sz="12"/>
          <w:insideH w:val="single" w:color="B7B7A4" w:sz="4"/>
        </w:tblBorders>
      </w:tblPr>
      <w:tr>
        <w:trPr>
          <w:tblHeader/>
        </w:trPr>
        <w:tc>
          <w:tcPr>
            <w:tcW w:w="1300" w:type="pct"/>
            <w:vAlign w:val="cente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1700" w:type="pct"/>
            <w:vAlign w:val="center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Input Power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100-240V AC, 50/60Hz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Single PSU supported; dual PSU optional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Typical Draw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42W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Measured under nominal traffic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Peak Draw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68W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Transient during startup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Operating Temp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0°C to 40°C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Derate above 35°C in closed racks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Storage Temp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-20°C to 60°C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Avoid rapid thermal cycling</w:t>
            </w:r>
          </w:p>
        </w:tc>
      </w:tr>
      <w:tr>
        <w:tc>
          <w:tcPr>
            <w:tcW w:w="1300" w:type="pct"/>
            <w:vAlign w:val="center"/>
          </w:tcPr>
          <w:p>
            <w:pPr>
              <w:jc w:val="left"/>
            </w:pPr>
            <w:r>
              <w:t>Humidity</w:t>
            </w:r>
          </w:p>
        </w:tc>
        <w:tc>
          <w:tcPr>
            <w:tcW w:w="1700" w:type="pct"/>
            <w:vAlign w:val="center"/>
          </w:tcPr>
          <w:p>
            <w:pPr>
              <w:jc w:val="left"/>
            </w:pPr>
            <w:r>
              <w:t>10% to 90% RH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Non-condensing</w:t>
            </w:r>
          </w:p>
        </w:tc>
      </w:tr>
    </w:tbl>
    <w:p>
      <w:pPr>
        <w:spacing w:before="0" w:after="280" w:line="240" w:lineRule="auto"/>
      </w:pPr>
      <w:r>
        <w:rPr>
          <w:rFonts w:ascii="Arial" w:hAnsi="Arial" w:eastAsia="Microsoft YaHei"/>
          <w:sz w:val="32"/>
          <w:color w:val="1B4332"/>
          <w:b/>
        </w:rPr>
        <w:t>Commissioning Checklist</w:t>
      </w:r>
    </w:p>
    <w:p>
      <w:pPr>
        <w:spacing w:before="80" w:after="80" w:line="240" w:lineRule="auto"/>
      </w:pPr>
      <w:r>
        <w:rPr>
          <w:rFonts w:ascii="Arial" w:hAnsi="Arial" w:eastAsia="Microsoft YaHei"/>
          <w:sz w:val="22"/>
          <w:color w:val="2D3436"/>
          <w:b/>
        </w:rPr>
        <w:t>1. </w:t>
      </w:r>
      <w:r>
        <w:rPr>
          <w:rFonts w:ascii="Arial" w:hAnsi="Arial" w:eastAsia="Microsoft YaHei"/>
          <w:sz w:val="22"/>
          <w:color w:val="2D3436"/>
        </w:rPr>
        <w:t>Confirm node identity, rack location, and management label before activation.</w:t>
      </w:r>
    </w:p>
    <w:p>
      <w:pPr>
        <w:spacing w:before="80" w:after="80" w:line="240" w:lineRule="auto"/>
      </w:pPr>
      <w:r>
        <w:rPr>
          <w:rFonts w:ascii="Arial" w:hAnsi="Arial" w:eastAsia="Microsoft YaHei"/>
          <w:sz w:val="22"/>
          <w:color w:val="2D3436"/>
          <w:b/>
        </w:rPr>
        <w:t>2. </w:t>
      </w:r>
      <w:r>
        <w:rPr>
          <w:rFonts w:ascii="Arial" w:hAnsi="Arial" w:eastAsia="Microsoft YaHei"/>
          <w:sz w:val="22"/>
          <w:color w:val="2D3436"/>
        </w:rPr>
        <w:t>Validate clock source and NTP sync status before connecting upstream services.</w:t>
      </w:r>
    </w:p>
    <w:p>
      <w:pPr>
        <w:spacing w:before="80" w:after="80" w:line="240" w:lineRule="auto"/>
      </w:pPr>
      <w:r>
        <w:rPr>
          <w:rFonts w:ascii="Arial" w:hAnsi="Arial" w:eastAsia="Microsoft YaHei"/>
          <w:sz w:val="22"/>
          <w:color w:val="2D3436"/>
          <w:b/>
        </w:rPr>
        <w:t>3. </w:t>
      </w:r>
      <w:r>
        <w:rPr>
          <w:rFonts w:ascii="Arial" w:hAnsi="Arial" w:eastAsia="Microsoft YaHei"/>
          <w:sz w:val="22"/>
          <w:color w:val="2D3436"/>
        </w:rPr>
        <w:t>Record baseline CPU, memory, and I/O values for post-change comparison.</w:t>
      </w:r>
    </w:p>
    <w:p>
      <w:pPr>
        <w:spacing w:before="80" w:after="80" w:line="240" w:lineRule="auto"/>
      </w:pPr>
      <w:r>
        <w:rPr>
          <w:rFonts w:ascii="Arial" w:hAnsi="Arial" w:eastAsia="Microsoft YaHei"/>
          <w:sz w:val="22"/>
          <w:color w:val="2D3436"/>
          <w:b/>
        </w:rPr>
        <w:t>4. </w:t>
      </w:r>
      <w:r>
        <w:rPr>
          <w:rFonts w:ascii="Arial" w:hAnsi="Arial" w:eastAsia="Microsoft YaHei"/>
          <w:sz w:val="22"/>
          <w:color w:val="2D3436"/>
        </w:rPr>
        <w:t>Capture rollback command set and escalation contacts in the change record.</w:t>
      </w:r>
    </w:p>
    <w:p>
      <w:r>
        <w:br w:type="page"/>
      </w:r>
    </w:p>
    <w:p>
      <w:pPr>
        <w:pStyle w:val="Heading1"/>
        <w:outlineLvl w:val="0"/>
      </w:pPr>
      <w:bookmarkStart w:name="Scope" w:id="10"/>
      <w:r>
        <w:rPr>
          <w:rFonts w:ascii="Arial" w:hAnsi="Arial" w:eastAsia="Microsoft YaHei"/>
          <w:sz w:val="34"/>
          <w:color w:val="1B4332"/>
          <w:b/>
        </w:rPr>
        <w:t>1. Scope and Intended Environment</w:t>
      </w:r>
      <w:bookmarkEnd w:id="10"/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This manual is intended for deployment engineers and operations staff responsible for commissioning, daily monitoring, and first-line diagnostics.</w:t>
      </w:r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The procedure assumes stable power input, controlled temperature, and a managed network segment with documented addressing rules.</w:t>
      </w:r>
    </w:p>
    <w:p>
      <w:r>
        <w:br w:type="page"/>
      </w:r>
    </w:p>
    <w:p>
      <w:pPr>
        <w:pStyle w:val="Heading1"/>
        <w:outlineLvl w:val="0"/>
      </w:pPr>
      <w:bookmarkStart w:name="Install" w:id="11"/>
      <w:r>
        <w:rPr>
          <w:rFonts w:ascii="Arial" w:hAnsi="Arial" w:eastAsia="Microsoft YaHei"/>
          <w:sz w:val="34"/>
          <w:color w:val="1B4332"/>
          <w:b/>
        </w:rPr>
        <w:t>2. Installation Workflow</w:t>
      </w:r>
      <w:bookmarkEnd w:id="11"/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Run a pre-flight check before rack-mounting: package integrity, accessory count, grounding path, and cable plan must all be confirmed.</w:t>
      </w:r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After physical setup, perform baseline verification in this order: power-on self-check, network reachability, service registration, and alarm channel validation.</w:t>
      </w:r>
    </w:p>
    <w:p>
      <w:r>
        <w:br w:type="page"/>
      </w:r>
    </w:p>
    <w:p>
      <w:pPr>
        <w:pStyle w:val="Heading1"/>
        <w:outlineLvl w:val="0"/>
      </w:pPr>
      <w:bookmarkStart w:name="Maintenance" w:id="12"/>
      <w:r>
        <w:rPr>
          <w:rFonts w:ascii="Arial" w:hAnsi="Arial" w:eastAsia="Microsoft YaHei"/>
          <w:sz w:val="34"/>
          <w:color w:val="1B4332"/>
          <w:b/>
        </w:rPr>
        <w:t>3. Routine Maintenance</w:t>
      </w:r>
      <w:bookmarkEnd w:id="12"/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Weekly tasks include health snapshot export, resource trend review, and backup consistency checks.</w:t>
      </w:r>
    </w:p>
    <w:p>
      <w:pPr>
        <w:ind w:left="0" w:firstLine="360"/>
        <w:spacing w:before="100" w:after="160" w:line="276" w:lineRule="auto"/>
      </w:pPr>
      <w:r>
        <w:rPr>
          <w:rFonts w:ascii="Arial" w:hAnsi="Arial" w:eastAsia="Microsoft YaHei"/>
          <w:sz w:val="22"/>
          <w:color w:val="2D3436"/>
        </w:rPr>
        <w:t>Monthly tasks include firmware advisory review, capacity delta analysis, and incident postmortem updates to the operating runbook.</w:t>
      </w:r>
    </w:p>
    <w:p>
      <w:r>
        <w:br w:type="page"/>
      </w:r>
    </w:p>
    <w:p>
      <w:pPr>
        <w:pStyle w:val="Heading1"/>
        <w:outlineLvl w:val="0"/>
      </w:pPr>
      <w:bookmarkStart w:name="IncidentPlaybook" w:id="13"/>
      <w:r>
        <w:rPr>
          <w:rFonts w:ascii="Arial" w:hAnsi="Arial" w:eastAsia="Microsoft YaHei"/>
          <w:sz w:val="34"/>
          <w:color w:val="1B4332"/>
          <w:b/>
        </w:rPr>
        <w:t>4. Incident Playbook</w:t>
      </w:r>
      <w:bookmarkEnd w:id="13"/>
    </w:p>
    <w:tbl>
      <w:tblPr>
        <w:tblW w:w="0" w:type="auto"/>
        <w:tblLayout w:type="fixed"/>
        <w:tblBorders>
          <w:top w:val="single" w:color="B7B7A4" w:sz="12"/>
          <w:bottom w:val="single" w:color="B7B7A4" w:sz="12"/>
          <w:insideH w:val="single" w:color="B7B7A4" w:sz="4"/>
        </w:tblBorders>
      </w:tblPr>
      <w:tr>
        <w:trPr>
          <w:tblHeader/>
        </w:trPr>
        <w:tc>
          <w:tcPr>
            <w:tcW w:w="1500" w:type="pct"/>
            <w:vAlign w:val="center"/>
          </w:tcPr>
          <w:p>
            <w:pPr>
              <w:jc w:val="center"/>
            </w:pPr>
            <w:r>
              <w:rPr>
                <w:b/>
              </w:rPr>
              <w:t>Symptom</w:t>
            </w:r>
          </w:p>
        </w:tc>
        <w:tc>
          <w:tcPr>
            <w:tcW w:w="1500" w:type="pct"/>
            <w:vAlign w:val="center"/>
          </w:tcPr>
          <w:p>
            <w:pPr>
              <w:jc w:val="center"/>
            </w:pPr>
            <w:r>
              <w:rPr>
                <w:b/>
              </w:rPr>
              <w:t>Likely Cause</w:t>
            </w:r>
          </w:p>
        </w:tc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b/>
              </w:rPr>
              <w:t>Recommended Action</w:t>
            </w:r>
          </w:p>
        </w:tc>
      </w:tr>
      <w:tr>
        <w:tc>
          <w:tcPr>
            <w:tcW w:w="1500" w:type="pct"/>
            <w:vAlign w:val="center"/>
          </w:tcPr>
          <w:p>
            <w:pPr>
              <w:jc w:val="left"/>
            </w:pPr>
            <w:r>
              <w:t>Power LED remains off</w:t>
            </w:r>
          </w:p>
        </w:tc>
        <w:tc>
          <w:tcPr>
            <w:tcW w:w="1500" w:type="pct"/>
            <w:vAlign w:val="center"/>
          </w:tcPr>
          <w:p>
            <w:pPr>
              <w:jc w:val="left"/>
            </w:pPr>
            <w:r>
              <w:t>No upstream power or unstable input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Validate PDU output and reseat power cable</w:t>
            </w:r>
          </w:p>
        </w:tc>
      </w:tr>
      <w:tr>
        <w:tc>
          <w:tcPr>
            <w:tcW w:w="1500" w:type="pct"/>
            <w:vAlign w:val="center"/>
          </w:tcPr>
          <w:p>
            <w:pPr>
              <w:jc w:val="left"/>
            </w:pPr>
            <w:r>
              <w:t>Management endpoint unavailable</w:t>
            </w:r>
          </w:p>
        </w:tc>
        <w:tc>
          <w:tcPr>
            <w:tcW w:w="1500" w:type="pct"/>
            <w:vAlign w:val="center"/>
          </w:tcPr>
          <w:p>
            <w:pPr>
              <w:jc w:val="left"/>
            </w:pPr>
            <w:r>
              <w:t>Address conflict or gateway mismatch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Restore known-good network profile and verify ARP table</w:t>
            </w:r>
          </w:p>
        </w:tc>
      </w:tr>
      <w:tr>
        <w:tc>
          <w:tcPr>
            <w:tcW w:w="1500" w:type="pct"/>
            <w:vAlign w:val="center"/>
          </w:tcPr>
          <w:p>
            <w:pPr>
              <w:jc w:val="left"/>
            </w:pPr>
            <w:r>
              <w:t>Sustained thermal warning</w:t>
            </w:r>
          </w:p>
        </w:tc>
        <w:tc>
          <w:tcPr>
            <w:tcW w:w="1500" w:type="pct"/>
            <w:vAlign w:val="center"/>
          </w:tcPr>
          <w:p>
            <w:pPr>
              <w:jc w:val="left"/>
            </w:pPr>
            <w:r>
              <w:t>Blocked airflow path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Remove obstructions and verify fan health</w:t>
            </w:r>
          </w:p>
        </w:tc>
      </w:tr>
      <w:tr>
        <w:tc>
          <w:tcPr>
            <w:tcW w:w="1500" w:type="pct"/>
            <w:vAlign w:val="center"/>
          </w:tcPr>
          <w:p>
            <w:pPr>
              <w:jc w:val="left"/>
            </w:pPr>
            <w:r>
              <w:t>Service starts but drops</w:t>
            </w:r>
          </w:p>
        </w:tc>
        <w:tc>
          <w:tcPr>
            <w:tcW w:w="1500" w:type="pct"/>
            <w:vAlign w:val="center"/>
          </w:tcPr>
          <w:p>
            <w:pPr>
              <w:jc w:val="left"/>
            </w:pPr>
            <w:r>
              <w:t>Dependency timeout</w:t>
            </w:r>
          </w:p>
        </w:tc>
        <w:tc>
          <w:tcPr>
            <w:tcW w:w="2000" w:type="pct"/>
            <w:vAlign w:val="center"/>
          </w:tcPr>
          <w:p>
            <w:pPr>
              <w:jc w:val="left"/>
            </w:pPr>
            <w:r>
              <w:t>Inspect startup logs and extend service warm-up threshold</w:t>
            </w:r>
          </w:p>
        </w:tc>
      </w:tr>
    </w:tbl>
    <w:p>
      <w:r>
        <w:br w:type="page"/>
      </w:r>
    </w:p>
    <w:p>
      <w:pPr>
        <w:spacing w:before="5600" w:after="0" w:line="240" w:lineRule="auto"/>
      </w:pPr>
    </w:p>
    <w:p>
      <w:pPr>
        <w:jc w:val="center"/>
      </w:pPr>
      <w:r>
        <w:rPr>
          <w:rFonts w:ascii="Arial" w:hAnsi="Arial" w:eastAsia="Microsoft YaHei"/>
          <w:sz w:val="22"/>
          <w:color w:val="95A5A6"/>
        </w:rPr>
        <w:t>Support Channel: ops-support@example.com</w:t>
      </w:r>
    </w:p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53c85b588b64cee" /></Relationships>
</file>