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pBdr>
          <w:bottom w:val="single" w:color="14213D" w:sz="24" w:space="12"/>
        </w:pBdr>
        <w:spacing w:after="240"/>
      </w:pPr>
      <w:r>
        <w:rPr>
          <w:rFonts w:ascii="Arial" w:cs="Arial" w:eastAsia="Arial" w:hAnsi="Arial"/>
          <w:color w:val="5B6578"/>
          <w:sz w:val="26"/>
          <w:szCs w:val="26"/>
        </w:rPr>
        <w:t xml:space="preserve">[Nombre de la institución]</w:t>
      </w:r>
    </w:p>
    <w:p>
      <w:pPr>
        <w:spacing w:after="120" w:before="600"/>
      </w:pPr>
      <w:r>
        <w:rPr>
          <w:rFonts w:ascii="Arial" w:cs="Arial" w:eastAsia="Arial" w:hAnsi="Arial"/>
          <w:b/>
          <w:bCs/>
          <w:color w:val="14213D"/>
          <w:sz w:val="64"/>
          <w:szCs w:val="64"/>
        </w:rPr>
        <w:t xml:space="preserve">Bases de datos NoSQL</w:t>
      </w:r>
    </w:p>
    <w:p>
      <w:pPr>
        <w:spacing w:after="1400"/>
      </w:pPr>
      <w:r>
        <w:rPr>
          <w:rFonts w:ascii="Arial" w:cs="Arial" w:eastAsia="Arial" w:hAnsi="Arial"/>
          <w:color w:val="5B6578"/>
          <w:sz w:val="30"/>
          <w:szCs w:val="30"/>
        </w:rPr>
        <w:t xml:space="preserve">Mapa mental, cuadro comparativo y análisis de caso: tienda en línea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213D"/>
          <w:sz w:val="24"/>
          <w:szCs w:val="24"/>
        </w:rPr>
        <w:t xml:space="preserve">Licenciatura: </w:t>
      </w:r>
      <w:r>
        <w:rPr>
          <w:rFonts w:ascii="Arial" w:cs="Arial" w:eastAsia="Arial" w:hAnsi="Arial"/>
          <w:sz w:val="24"/>
          <w:szCs w:val="24"/>
        </w:rPr>
        <w:t xml:space="preserve">[Nombre de la licenciatura]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213D"/>
          <w:sz w:val="24"/>
          <w:szCs w:val="24"/>
        </w:rPr>
        <w:t xml:space="preserve">Asignatura: </w:t>
      </w:r>
      <w:r>
        <w:rPr>
          <w:rFonts w:ascii="Arial" w:cs="Arial" w:eastAsia="Arial" w:hAnsi="Arial"/>
          <w:sz w:val="24"/>
          <w:szCs w:val="24"/>
        </w:rPr>
        <w:t xml:space="preserve">[Nombre de la asignatura]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213D"/>
          <w:sz w:val="24"/>
          <w:szCs w:val="24"/>
        </w:rPr>
        <w:t xml:space="preserve">Actividad: </w:t>
      </w:r>
      <w:r>
        <w:rPr>
          <w:rFonts w:ascii="Arial" w:cs="Arial" w:eastAsia="Arial" w:hAnsi="Arial"/>
          <w:sz w:val="24"/>
          <w:szCs w:val="24"/>
        </w:rPr>
        <w:t xml:space="preserve">Modelos NoSQL: clave-valor, documentos, columnas y grafos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213D"/>
          <w:sz w:val="24"/>
          <w:szCs w:val="24"/>
        </w:rPr>
        <w:t xml:space="preserve">Estudiante: </w:t>
      </w:r>
      <w:r>
        <w:rPr>
          <w:rFonts w:ascii="Arial" w:cs="Arial" w:eastAsia="Arial" w:hAnsi="Arial"/>
          <w:sz w:val="24"/>
          <w:szCs w:val="24"/>
        </w:rPr>
        <w:t xml:space="preserve">[Nombre completo]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213D"/>
          <w:sz w:val="24"/>
          <w:szCs w:val="24"/>
        </w:rPr>
        <w:t xml:space="preserve">Matrícula: </w:t>
      </w:r>
      <w:r>
        <w:rPr>
          <w:rFonts w:ascii="Arial" w:cs="Arial" w:eastAsia="Arial" w:hAnsi="Arial"/>
          <w:sz w:val="24"/>
          <w:szCs w:val="24"/>
        </w:rPr>
        <w:t xml:space="preserve">[Matrícula]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213D"/>
          <w:sz w:val="24"/>
          <w:szCs w:val="24"/>
        </w:rPr>
        <w:t xml:space="preserve">Docente: </w:t>
      </w:r>
      <w:r>
        <w:rPr>
          <w:rFonts w:ascii="Arial" w:cs="Arial" w:eastAsia="Arial" w:hAnsi="Arial"/>
          <w:sz w:val="24"/>
          <w:szCs w:val="24"/>
        </w:rPr>
        <w:t xml:space="preserve">[Nombre del docente]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4213D"/>
          <w:sz w:val="24"/>
          <w:szCs w:val="24"/>
        </w:rPr>
        <w:t xml:space="preserve">Fecha: </w:t>
      </w:r>
      <w:r>
        <w:rPr>
          <w:rFonts w:ascii="Arial" w:cs="Arial" w:eastAsia="Arial" w:hAnsi="Arial"/>
          <w:sz w:val="24"/>
          <w:szCs w:val="24"/>
        </w:rPr>
        <w:t xml:space="preserve">10 de 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rFonts w:ascii="Arial" w:cs="Arial" w:eastAsia="Arial" w:hAnsi="Arial"/>
        </w:rPr>
        <w:t xml:space="preserve">Desarrollo de la actividad</w:t>
      </w:r>
    </w:p>
    <w:p>
      <w:pPr>
        <w:pStyle w:val="Heading2"/>
        <w:spacing w:after="60" w:before="60"/>
      </w:pPr>
      <w:r>
        <w:rPr>
          <w:rFonts w:ascii="Arial" w:cs="Arial" w:eastAsia="Arial" w:hAnsi="Arial"/>
        </w:rPr>
        <w:t xml:space="preserve">1. Mapa mental: bases de datos NoSQL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Mapa mental de las bases de datos NoSQL y sus cuatro modelos. </w:t>
      </w:r>
      <w:r>
        <w:rPr>
          <w:rFonts w:ascii="Arial" w:cs="Arial" w:eastAsia="Arial" w:hAnsi="Arial"/>
          <w:sz w:val="20"/>
          <w:szCs w:val="20"/>
        </w:rPr>
        <w:t xml:space="preserve">Elaboración propia con base en Robinson et al. (2015). La versión interactiva se entrega en el archivo HTML.</w:t>
      </w:r>
    </w:p>
    <w:p>
      <w:pPr>
        <w:spacing w:after="0"/>
        <w:jc w:val="center"/>
      </w:pPr>
      <w:r>
        <w:drawing>
          <wp:inline distT="0" distB="0" distL="0" distR="0">
            <wp:extent cx="8953500" cy="5286375"/>
            <wp:effectExtent t="0" r="0" b="0" l="0"/>
            <wp:docPr id="1" name="mapa" descr="Mapa mental con el concepto central Bases de datos NoSQL y cuatro ramas: clave-valor, documentos, columnas y grafos" title="Mapa mental No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  <w:spacing w:after="80"/>
      </w:pPr>
      <w:r>
        <w:rPr>
          <w:rFonts w:ascii="Arial" w:cs="Arial" w:eastAsia="Arial" w:hAnsi="Arial"/>
        </w:rPr>
        <w:t xml:space="preserve">2. Cuadro comparativo de los modelos NoSQL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Comparación de los cuatro modelos NoSQL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500"/>
        <w:gridCol w:w="29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4213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4213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3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4213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Desventajas</w:t>
            </w:r>
          </w:p>
        </w:tc>
        <w:tc>
          <w:tcPr>
            <w:tcW w:type="dxa" w:w="2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4213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información que maneja mejor</w:t>
            </w:r>
          </w:p>
        </w:tc>
        <w:tc>
          <w:tcPr>
            <w:tcW w:type="dxa" w:w="30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4213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 de uso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BE9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E3455"/>
                <w:sz w:val="20"/>
                <w:szCs w:val="20"/>
              </w:rPr>
              <w:t xml:space="preserve">Clave-valor</w:t>
            </w:r>
          </w:p>
        </w:tc>
        <w:tc>
          <w:tcPr>
            <w:tcW w:type="dxa" w:w="3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Muy rápido y simple de usar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 disponibilidad y tolerancia a fallos por replicación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 bien gracias al hashing consistente</w:t>
            </w:r>
          </w:p>
        </w:tc>
        <w:tc>
          <w:tcPr>
            <w:tcW w:type="dxa" w:w="3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Valores opacos: poca visibilidad de su contenido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consultas complejas requieren procesamiento externo (p. ej., MapReduce)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relaciones no son de primera clase</w:t>
            </w:r>
          </w:p>
        </w:tc>
        <w:tc>
          <w:tcPr>
            <w:tcW w:type="dxa" w:w="2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Datos simples que se consultan por una clave natural (usuario, correo, código, coordenadas)</w:t>
            </w:r>
          </w:p>
        </w:tc>
        <w:tc>
          <w:tcPr>
            <w:tcW w:type="dxa" w:w="30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Carrito de compras y sesiones de usuario con Redis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E6F0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Documentos</w:t>
            </w:r>
          </w:p>
        </w:tc>
        <w:tc>
          <w:tcPr>
            <w:tcW w:type="dxa" w:w="3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Esquema flexible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Jerarquías naturales (mapas y listas) como JSON o XML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Índices por atributos y escalamiento horizontal</w:t>
            </w:r>
          </w:p>
        </w:tc>
        <w:tc>
          <w:tcPr>
            <w:tcW w:type="dxa" w:w="3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Transacciones tradicionalmente limitadas a un solo documento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documentos no están conectados entre sí: las consultas profundas necesitan procesamiento adicional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sharding exige planificación</w:t>
            </w:r>
          </w:p>
        </w:tc>
        <w:tc>
          <w:tcPr>
            <w:tcW w:type="dxa" w:w="2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Datos semiestructurados con atributos variables, como catálogos y contenidos</w:t>
            </w:r>
          </w:p>
        </w:tc>
        <w:tc>
          <w:tcPr>
            <w:tcW w:type="dxa" w:w="30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productos o gestor de contenidos con MongoDB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FBF1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Columnas</w:t>
            </w:r>
          </w:p>
        </w:tc>
        <w:tc>
          <w:tcPr>
            <w:tcW w:type="dxa" w:w="3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 rendimiento distribuido y gran capacidad de escritura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Muy escalable y con buena tolerancia a fallos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claves funcionan como índice natural</w:t>
            </w:r>
          </w:p>
        </w:tc>
        <w:tc>
          <w:tcPr>
            <w:tcW w:type="dxa" w:w="3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Sigue siendo almacén agregado: sin joins ni relaciones complejas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diseño se orienta a consultas predefinidas y duplica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análisis complejos requieren procesamiento externo</w:t>
            </w:r>
          </w:p>
        </w:tc>
        <w:tc>
          <w:tcPr>
            <w:tcW w:type="dxa" w:w="2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Grandes volúmenes de datos, entidades con muchos atributos y tablas dispersas</w:t>
            </w:r>
          </w:p>
        </w:tc>
        <w:tc>
          <w:tcPr>
            <w:tcW w:type="dxa" w:w="30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masivo de eventos o actividad de usuarios con Apache Cassandra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E4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F855A"/>
                <w:sz w:val="20"/>
                <w:szCs w:val="20"/>
              </w:rPr>
              <w:t xml:space="preserve">Grafos</w:t>
            </w:r>
          </w:p>
        </w:tc>
        <w:tc>
          <w:tcPr>
            <w:tcW w:type="dxa" w:w="3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relaciones son de primera clase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Recorridos muy eficientes (adyacencia sin índices)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expresivo y flexible; muchas implementaciones ofrecen ACID</w:t>
            </w:r>
          </w:p>
        </w:tc>
        <w:tc>
          <w:tcPr>
            <w:tcW w:type="dxa" w:w="35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Menos adecuado cuando los datos casi no tienen relaciones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y lenguaje de consulta distintos al relacional, con curva de aprendizaje</w:t>
            </w:r>
          </w:p>
        </w:tc>
        <w:tc>
          <w:tcPr>
            <w:tcW w:type="dxa" w:w="29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Datos altamente conectados: personas, productos, rutas y sus vínculos</w:t>
            </w:r>
          </w:p>
        </w:tc>
        <w:tc>
          <w:tcPr>
            <w:tcW w:type="dxa" w:w="300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Redes sociales, recomendaciones y detección de fraude con Neo4j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5B6578"/>
          <w:sz w:val="18"/>
          <w:szCs w:val="18"/>
        </w:rPr>
        <w:t xml:space="preserve">Nota. Elaboración propia con base en Robinson et al. (2015), Redis (s. f.), MongoDB, Inc. (s. f.), Apache Software Foundation (s. f.) y Neo4j, Inc. (s. f.).</w:t>
      </w:r>
    </w:p>
    <w:p>
      <w:pPr>
        <w:sectPr>
          <w:footerReference w:type="default" r:id="rId7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 w:before="0"/>
      </w:pPr>
      <w:r>
        <w:rPr>
          <w:rFonts w:ascii="Arial" w:cs="Arial" w:eastAsia="Arial" w:hAnsi="Arial"/>
        </w:rPr>
        <w:t xml:space="preserve">3. Diseño de la base de datos para una tienda en línea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6578"/>
          <w:sz w:val="22"/>
          <w:szCs w:val="22"/>
        </w:rPr>
        <w:t xml:space="preserve">Pregunta: Si tuvieras que diseñar la base de datos para una tienda en línea, ¿qué modelo NoSQL elegirías y por qué?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Elegiría una base de datos orientada a documentos, con MongoDB como tecnología representativa.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Una tienda en línea maneja información semiestructurada: un celular, una camisa y un libro tienen atributos distintos, y el catálogo cambia constantemente por nuevas categorías, variantes y promociones. El esquema flexible del modelo documental permite agregar campos sin migraciones costosas, algo difícil en un esquema relacional rígido (Robinson et al., 2015).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Además, un pedido puede guardarse como un solo documento con cliente, productos, precios y dirección. Así se lee con una sola consulta y su escritura es atómica a nivel de documento (MongoDB, Inc., s. f.). Los índices por atributos (categoría, marca, precio) aceleran búsquedas y filtros, y el modelo escala horizontalmente cuando crece el tráfico.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Su límite son las relaciones profundas, como «quienes compraron esto también compraron». Si esa necesidad se vuelve central, podría complementarse con una base de grafos como Neo4j y con Redis para sesiones y caché. Aun así, el núcleo de la tienda (catálogo, clientes y pedidos) encaja mejor en documentos.</w:t>
      </w:r>
    </w:p>
    <w:p>
      <w:pPr>
        <w:spacing w:after="240"/>
      </w:pPr>
      <w:r>
        <w:rPr>
          <w:rFonts w:ascii="Arial" w:cs="Arial" w:eastAsia="Arial" w:hAnsi="Arial"/>
          <w:color w:val="5B6578"/>
          <w:sz w:val="18"/>
          <w:szCs w:val="18"/>
        </w:rPr>
        <w:t xml:space="preserve">(168 palabras)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</w:rPr>
        <w:t xml:space="preserve">Breve explicación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actividad sintetiza los cuatro modelos de bases de datos NoSQL que Robinson et al. (2015) describen en el Apéndice A de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Graph Databases</w:t>
      </w:r>
      <w:r>
        <w:rPr>
          <w:rFonts w:ascii="Arial" w:cs="Arial" w:eastAsia="Arial" w:hAnsi="Arial"/>
          <w:sz w:val="22"/>
          <w:szCs w:val="22"/>
        </w:rPr>
        <w:t xml:space="preserve">: clave-valor, documentos, columnas y grafos. Para complementar el libro se consultó la documentación oficial de Redis, MongoDB, Apache Cassandra y Neo4j, que permitió ejemplificar cada modelo con una tecnología representativa. Los orígenes de los modelos clave-valor y columnar se remontan a Dynamo (DeCandia et al., 2007) y BigTable (Chang et al., 2008).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 mapa mental parte del concepto central y organiza cada rama con las mismas cinco ideas (concepto, características, forma de organizar los datos, ejemplo de aplicación y tecnología representativa), lo que facilita comparar los modelos. El cuadro comparativo resume ventajas, desventajas, tipo de información y ejemplos de uso.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 idea principal es que NoSQL («Not Only SQL») no es una sola solución, sino un conjunto de modelos creados para enfrentar los retos de volumen, velocidad y variedad de los datos. Clave-valor, documentos y columnas funcionan como almacenes agregados: escalan bien, pero no tienen las relaciones como elemento de primera clase; los grafos sí. Esto coincide con la persistencia políglota de Sadalage y Fowler (2012): cada problema se resuelve con el modelo más adecuado, según su patrón de consulta y no por moda.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</w:rPr>
        <w:t xml:space="preserve">Referencias bibliográficas</w:t>
      </w:r>
    </w:p>
    <w:p>
      <w:pPr>
        <w:spacing w:after="160" w:line="300"/>
        <w:ind w:left="720" w:hanging="720"/>
        <w:jc w:val="left"/>
      </w:pPr>
      <w:r>
        <w:rPr>
          <w:rFonts w:ascii="Arial" w:cs="Arial" w:eastAsia="Arial" w:hAnsi="Arial"/>
          <w:sz w:val="22"/>
          <w:szCs w:val="22"/>
        </w:rPr>
        <w:t xml:space="preserve">Apache Software Foundation. (s. f.).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Introduction to data modeling</w:t>
      </w:r>
      <w:r>
        <w:rPr>
          <w:rFonts w:ascii="Arial" w:cs="Arial" w:eastAsia="Arial" w:hAnsi="Arial"/>
          <w:sz w:val="22"/>
          <w:szCs w:val="22"/>
        </w:rPr>
        <w:t xml:space="preserve">. En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Apache Cassandra documentation</w:t>
      </w:r>
      <w:r>
        <w:rPr>
          <w:rFonts w:ascii="Arial" w:cs="Arial" w:eastAsia="Arial" w:hAnsi="Arial"/>
          <w:sz w:val="22"/>
          <w:szCs w:val="22"/>
        </w:rPr>
        <w:t xml:space="preserve">. https://cassandra.apache.org/doc/latest/data_modeling/intro.html</w:t>
      </w:r>
    </w:p>
    <w:p>
      <w:pPr>
        <w:spacing w:after="160" w:line="300"/>
        <w:ind w:left="720" w:hanging="720"/>
        <w:jc w:val="left"/>
      </w:pPr>
      <w:r>
        <w:rPr>
          <w:rFonts w:ascii="Arial" w:cs="Arial" w:eastAsia="Arial" w:hAnsi="Arial"/>
          <w:sz w:val="22"/>
          <w:szCs w:val="22"/>
        </w:rPr>
        <w:t xml:space="preserve">Chang, F., Dean, J., Ghemawat, S., Hsieh, W. C., Wallach, D. A., Burrows, M., Chandra, T., Fikes, A., &amp; Gruber, R. E. (2008). Bigtable: A distributed storage system for structured data.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ACM Transactions on Computer Systems, 26</w:t>
      </w:r>
      <w:r>
        <w:rPr>
          <w:rFonts w:ascii="Arial" w:cs="Arial" w:eastAsia="Arial" w:hAnsi="Arial"/>
          <w:sz w:val="22"/>
          <w:szCs w:val="22"/>
        </w:rPr>
        <w:t xml:space="preserve">(2), 1-26. https://doi.org/10.1145/1365815.1365816</w:t>
      </w:r>
    </w:p>
    <w:p>
      <w:pPr>
        <w:spacing w:after="160" w:line="300"/>
        <w:ind w:left="720" w:hanging="720"/>
        <w:jc w:val="left"/>
      </w:pPr>
      <w:r>
        <w:rPr>
          <w:rFonts w:ascii="Arial" w:cs="Arial" w:eastAsia="Arial" w:hAnsi="Arial"/>
          <w:sz w:val="22"/>
          <w:szCs w:val="22"/>
        </w:rPr>
        <w:t xml:space="preserve">DeCandia, G., Hastorun, D., Jampani, M., Kakulapati, G., Lakshman, A., Pilchin, A., Sivasubramanian, S., Vosshall, P., &amp; Vogels, W. (2007). Dynamo: Amazon's highly available key-value store.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ACM SIGOPS Operating Systems Review, 41</w:t>
      </w:r>
      <w:r>
        <w:rPr>
          <w:rFonts w:ascii="Arial" w:cs="Arial" w:eastAsia="Arial" w:hAnsi="Arial"/>
          <w:sz w:val="22"/>
          <w:szCs w:val="22"/>
        </w:rPr>
        <w:t xml:space="preserve">(6), 205-220. https://doi.org/10.1145/1323293.1294281</w:t>
      </w:r>
    </w:p>
    <w:p>
      <w:pPr>
        <w:spacing w:after="160" w:line="300"/>
        <w:ind w:left="720" w:hanging="720"/>
        <w:jc w:val="left"/>
      </w:pPr>
      <w:r>
        <w:rPr>
          <w:rFonts w:ascii="Arial" w:cs="Arial" w:eastAsia="Arial" w:hAnsi="Arial"/>
          <w:sz w:val="22"/>
          <w:szCs w:val="22"/>
        </w:rPr>
        <w:t xml:space="preserve">MongoDB, Inc. (s. f.).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Embedded data versus references</w:t>
      </w:r>
      <w:r>
        <w:rPr>
          <w:rFonts w:ascii="Arial" w:cs="Arial" w:eastAsia="Arial" w:hAnsi="Arial"/>
          <w:sz w:val="22"/>
          <w:szCs w:val="22"/>
        </w:rPr>
        <w:t xml:space="preserve">. En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MongoDB manual</w:t>
      </w:r>
      <w:r>
        <w:rPr>
          <w:rFonts w:ascii="Arial" w:cs="Arial" w:eastAsia="Arial" w:hAnsi="Arial"/>
          <w:sz w:val="22"/>
          <w:szCs w:val="22"/>
        </w:rPr>
        <w:t xml:space="preserve">. https://www.mongodb.com/docs/manual/data-modeling/concepts/embedding-vs-references/</w:t>
      </w:r>
    </w:p>
    <w:p>
      <w:pPr>
        <w:spacing w:after="160" w:line="300"/>
        <w:ind w:left="720" w:hanging="720"/>
        <w:jc w:val="left"/>
      </w:pPr>
      <w:r>
        <w:rPr>
          <w:rFonts w:ascii="Arial" w:cs="Arial" w:eastAsia="Arial" w:hAnsi="Arial"/>
          <w:sz w:val="22"/>
          <w:szCs w:val="22"/>
        </w:rPr>
        <w:t xml:space="preserve">Neo4j, Inc. (s. f.).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Graph database concepts</w:t>
      </w:r>
      <w:r>
        <w:rPr>
          <w:rFonts w:ascii="Arial" w:cs="Arial" w:eastAsia="Arial" w:hAnsi="Arial"/>
          <w:sz w:val="22"/>
          <w:szCs w:val="22"/>
        </w:rPr>
        <w:t xml:space="preserve">. En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Neo4j getting started</w:t>
      </w:r>
      <w:r>
        <w:rPr>
          <w:rFonts w:ascii="Arial" w:cs="Arial" w:eastAsia="Arial" w:hAnsi="Arial"/>
          <w:sz w:val="22"/>
          <w:szCs w:val="22"/>
        </w:rPr>
        <w:t xml:space="preserve">. https://neo4j.com/docs/getting-started/current/graphdb-concepts/</w:t>
      </w:r>
    </w:p>
    <w:p>
      <w:pPr>
        <w:spacing w:after="160" w:line="300"/>
        <w:ind w:left="720" w:hanging="720"/>
        <w:jc w:val="left"/>
      </w:pPr>
      <w:r>
        <w:rPr>
          <w:rFonts w:ascii="Arial" w:cs="Arial" w:eastAsia="Arial" w:hAnsi="Arial"/>
          <w:sz w:val="22"/>
          <w:szCs w:val="22"/>
        </w:rPr>
        <w:t xml:space="preserve">Redis. (s. f.).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 introduction to Redis data types and abstractions</w:t>
      </w:r>
      <w:r>
        <w:rPr>
          <w:rFonts w:ascii="Arial" w:cs="Arial" w:eastAsia="Arial" w:hAnsi="Arial"/>
          <w:sz w:val="22"/>
          <w:szCs w:val="22"/>
        </w:rPr>
        <w:t xml:space="preserve">. https://redis.io/topics/data-types-intro</w:t>
      </w:r>
    </w:p>
    <w:p>
      <w:pPr>
        <w:spacing w:after="160" w:line="300"/>
        <w:ind w:left="720" w:hanging="720"/>
        <w:jc w:val="left"/>
      </w:pPr>
      <w:r>
        <w:rPr>
          <w:rFonts w:ascii="Arial" w:cs="Arial" w:eastAsia="Arial" w:hAnsi="Arial"/>
          <w:sz w:val="22"/>
          <w:szCs w:val="22"/>
        </w:rPr>
        <w:t xml:space="preserve">Robinson, I., Webber, J., &amp; Eifrem, E.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Graph databases</w:t>
      </w:r>
      <w:r>
        <w:rPr>
          <w:rFonts w:ascii="Arial" w:cs="Arial" w:eastAsia="Arial" w:hAnsi="Arial"/>
          <w:sz w:val="22"/>
          <w:szCs w:val="22"/>
        </w:rPr>
        <w:t xml:space="preserve"> (2.ª ed.). O'Reilly Media.</w:t>
      </w:r>
    </w:p>
    <w:p>
      <w:pPr>
        <w:spacing w:after="160" w:line="300"/>
        <w:ind w:left="720" w:hanging="720"/>
        <w:jc w:val="left"/>
      </w:pPr>
      <w:r>
        <w:rPr>
          <w:rFonts w:ascii="Arial" w:cs="Arial" w:eastAsia="Arial" w:hAnsi="Arial"/>
          <w:sz w:val="22"/>
          <w:szCs w:val="22"/>
        </w:rPr>
        <w:t xml:space="preserve">Sadalage, P. J., &amp; Fowler, M. (2012).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NoSQL distilled: A brief guide to the emerging world of polyglot persistence</w:t>
      </w:r>
      <w:r>
        <w:rPr>
          <w:rFonts w:ascii="Arial" w:cs="Arial" w:eastAsia="Arial" w:hAnsi="Arial"/>
          <w:sz w:val="22"/>
          <w:szCs w:val="22"/>
        </w:rPr>
        <w:t xml:space="preserve">. Addison-Wesley.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578"/>
        <w:sz w:val="18"/>
        <w:szCs w:val="18"/>
      </w:rPr>
      <w:t xml:space="preserve">Bases de datos NoSQL  |  Página </w:t>
    </w:r>
    <w:r>
      <w:rPr>
        <w:rFonts w:ascii="Arial" w:cs="Arial" w:eastAsia="Arial" w:hAnsi="Arial"/>
        <w:color w:val="5B65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578"/>
        <w:sz w:val="18"/>
        <w:szCs w:val="18"/>
      </w:rPr>
      <w:t xml:space="preserve">Bases de datos NoSQL  |  Página </w:t>
    </w:r>
    <w:r>
      <w:rPr>
        <w:rFonts w:ascii="Arial" w:cs="Arial" w:eastAsia="Arial" w:hAnsi="Arial"/>
        <w:color w:val="5B65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421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68d66f02db4211f63ffd7f6050b3102c1a5f952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de datos NoSQL</dc:title>
  <dc:creator>Estudiante</dc:creator>
  <dc:description>Mapa mental, cuadro comparativo y análisis de caso</dc:description>
  <cp:lastModifiedBy>Un-named</cp:lastModifiedBy>
  <cp:revision>1</cp:revision>
  <dcterms:created xsi:type="dcterms:W3CDTF">2026-10-10T19:40:20.458Z</dcterms:created>
  <dcterms:modified xsi:type="dcterms:W3CDTF">2026-10-10T19:40:20.458Z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