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Arial" w:hAnsi="Arial"/>
          <w:rFonts w:eastAsia="微軟正黑體"/>
          <w:b/>
          <w:i w:val="0"/>
          <w:color w:val="1E3A8A"/>
          <w:sz w:val="48"/>
        </w:rPr>
        <w:t>雙北市測速照相與車禍相關性探索分析 (EDA)</w:t>
        <w:br/>
        <w:t>期末專案書面報告</w:t>
      </w:r>
    </w:p>
    <w:p>
      <w:pPr>
        <w:spacing w:after="2400"/>
        <w:jc w:val="center"/>
      </w:pPr>
      <w:r>
        <w:rPr>
          <w:rFonts w:ascii="Arial" w:hAnsi="Arial"/>
          <w:rFonts w:eastAsia="微軟正黑體"/>
          <w:b w:val="0"/>
          <w:i/>
          <w:color w:val="475569"/>
          <w:sz w:val="28"/>
        </w:rPr>
        <w:t>Spatial Correlation Analysis between Speed Cameras and Traffic Accidents</w:t>
        <w:br/>
        <w:t>in Taipei &amp; New Taipei City (110 - 113)</w:t>
      </w:r>
    </w:p>
    <w:p>
      <w:pPr>
        <w:spacing w:line="360" w:lineRule="auto"/>
        <w:jc w:val="center"/>
      </w:pPr>
      <w:r>
        <w:rPr>
          <w:rFonts w:ascii="Arial" w:hAnsi="Arial"/>
          <w:rFonts w:eastAsia="微軟正黑體"/>
          <w:b/>
          <w:i w:val="0"/>
          <w:color w:val="0F172A"/>
          <w:sz w:val="24"/>
        </w:rPr>
        <w:t>課程名稱：資料科學 (Data Science)</w:t>
        <w:br/>
      </w:r>
      <w:r>
        <w:rPr>
          <w:rFonts w:ascii="Arial" w:hAnsi="Arial"/>
          <w:rFonts w:eastAsia="微軟正黑體"/>
          <w:b w:val="0"/>
          <w:i w:val="0"/>
          <w:color w:val="0F172A"/>
          <w:sz w:val="24"/>
        </w:rPr>
        <w:t>繳交日期：2026 年 6 月</w:t>
        <w:br/>
        <w:t>學術單位：國立臺灣師範大學 (NTNU)</w:t>
        <w:br/>
        <w:t>報告格式：中英雙語對照學術報告</w:t>
      </w:r>
    </w:p>
    <w:p>
      <w:r>
        <w:br w:type="page"/>
      </w:r>
    </w:p>
    <w:p>
      <w:pPr>
        <w:keepNext/>
        <w:spacing w:before="360" w:after="120"/>
      </w:pPr>
      <w:r>
        <w:rPr>
          <w:rFonts w:ascii="Arial" w:hAnsi="Arial"/>
          <w:rFonts w:eastAsia="微軟正黑體"/>
          <w:b/>
          <w:i w:val="0"/>
          <w:color w:val="1E3A8A"/>
          <w:sz w:val="36"/>
        </w:rPr>
        <w:t>第一章：研究背景與目標 / Chapter 1: Research Background &amp; Objectives</w:t>
      </w:r>
    </w:p>
    <w:p>
      <w:pPr>
        <w:keepNext/>
        <w:spacing w:before="240" w:after="80"/>
      </w:pPr>
      <w:r>
        <w:rPr>
          <w:rFonts w:ascii="Arial" w:hAnsi="Arial"/>
          <w:rFonts w:eastAsia="微軟正黑體"/>
          <w:b/>
          <w:i w:val="0"/>
          <w:color w:val="475569"/>
          <w:sz w:val="28"/>
        </w:rPr>
        <w:t>1.1 研究背景與動機 / Research Motivation</w:t>
      </w:r>
    </w:p>
    <w:p>
      <w:pPr>
        <w:spacing w:line="300" w:lineRule="auto" w:after="120"/>
      </w:pPr>
      <w:r>
        <w:rPr>
          <w:rFonts w:ascii="Arial" w:hAnsi="Arial"/>
          <w:rFonts w:eastAsia="微軟正黑體"/>
          <w:b w:val="0"/>
          <w:i w:val="0"/>
          <w:color w:val="0F172A"/>
          <w:sz w:val="22"/>
        </w:rPr>
        <w:t>道路交通安全一直是都市治理的核心課題。政府編列預算在多個路段設置測速照相機，旨在抑止超速行為進而降低車禍發生率。然而，測速照相的分布是否確實與車禍發生密度存在空間相關性？或者它只是單純反映了道路車流量或交通執法熱點？這項課題在資料科學上非常適合以空間探索性分析 (Spatial EDA) 來進行驗證。</w:t>
      </w:r>
    </w:p>
    <w:p>
      <w:pPr>
        <w:spacing w:line="300" w:lineRule="auto" w:after="120"/>
      </w:pPr>
      <w:r>
        <w:rPr>
          <w:rFonts w:ascii="Arial" w:hAnsi="Arial"/>
          <w:rFonts w:eastAsia="微軟正黑體"/>
          <w:b w:val="0"/>
          <w:i/>
          <w:color w:val="0F172A"/>
          <w:sz w:val="22"/>
        </w:rPr>
        <w:t>Road traffic safety has always been a central issue in urban governance. The government deploys speed enforcement cameras at various locations to curb speeding and reduce traffic accident rates. However, whether the distribution of speed cameras correlates spatially with the density of traffic accidents, or whether it simply reflects traffic volume or enforcement hot spots, is a question highly suitable for validation through Spatial Exploratory Data Analysis (Spatial EDA).</w:t>
      </w:r>
    </w:p>
    <w:p>
      <w:pPr>
        <w:keepNext/>
        <w:spacing w:before="240" w:after="80"/>
      </w:pPr>
      <w:r>
        <w:rPr>
          <w:rFonts w:ascii="Arial" w:hAnsi="Arial"/>
          <w:rFonts w:eastAsia="微軟正黑體"/>
          <w:b/>
          <w:i w:val="0"/>
          <w:color w:val="475569"/>
          <w:sz w:val="28"/>
        </w:rPr>
        <w:t>1.2 研究目標 / Project Objectives</w:t>
      </w:r>
    </w:p>
    <w:p>
      <w:pPr>
        <w:spacing w:line="300" w:lineRule="auto" w:after="120"/>
      </w:pPr>
      <w:r>
        <w:rPr>
          <w:rFonts w:ascii="Arial" w:hAnsi="Arial"/>
          <w:rFonts w:eastAsia="微軟正黑體"/>
          <w:b w:val="0"/>
          <w:i w:val="0"/>
          <w:color w:val="0F172A"/>
          <w:sz w:val="22"/>
        </w:rPr>
        <w:t>本研究之核心目標如下：</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1. 彙整雙北市（臺北市與新北市）歷年（民國110年至113年）之測速相機位置與交通事故點資料。</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2. 探討在不同空間搜尋半徑（500m至10,000m）下的敏感度分析，驗證測速照相機密度與周邊車禍發生數的 Spearman 相關性。</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3. 利用統計假說檢定（Mann-Whitney U 檢定）對比雙北市在相同搜尋半徑下的車禍分布顯著性差異。</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4. 利用矩陣代數運算，求解普通最小平方 (LS) 與加權最小平方法 (WLS) 線性建模，為雙北空間分布擬合趨勢線。</w:t>
      </w:r>
    </w:p>
    <w:p>
      <w:pPr>
        <w:keepNext/>
        <w:spacing w:before="360" w:after="120"/>
      </w:pPr>
      <w:r>
        <w:rPr>
          <w:rFonts w:ascii="Arial" w:hAnsi="Arial"/>
          <w:rFonts w:eastAsia="微軟正黑體"/>
          <w:b/>
          <w:i w:val="0"/>
          <w:color w:val="1E3A8A"/>
          <w:sz w:val="36"/>
        </w:rPr>
        <w:t>第二章：資料來源與預處理 / Chapter 2: Data Sources &amp; Preprocessing</w:t>
      </w:r>
    </w:p>
    <w:p>
      <w:pPr>
        <w:keepNext/>
        <w:spacing w:before="240" w:after="80"/>
      </w:pPr>
      <w:r>
        <w:rPr>
          <w:rFonts w:ascii="Arial" w:hAnsi="Arial"/>
          <w:rFonts w:eastAsia="微軟正黑體"/>
          <w:b/>
          <w:i w:val="0"/>
          <w:color w:val="475569"/>
          <w:sz w:val="28"/>
        </w:rPr>
        <w:t>2.1 原始資料來源 / Data Sources</w:t>
      </w:r>
    </w:p>
    <w:p>
      <w:pPr>
        <w:spacing w:line="300" w:lineRule="auto" w:after="120"/>
      </w:pPr>
      <w:r>
        <w:rPr>
          <w:rFonts w:ascii="Arial" w:hAnsi="Arial"/>
          <w:rFonts w:eastAsia="微軟正黑體"/>
          <w:b w:val="0"/>
          <w:i w:val="0"/>
          <w:color w:val="0F172A"/>
          <w:sz w:val="22"/>
        </w:rPr>
        <w:t>本專案結合了以下三大核心開放資料集：</w:t>
      </w:r>
    </w:p>
    <w:p>
      <w:pPr>
        <w:spacing w:line="300" w:lineRule="auto" w:after="120"/>
        <w:ind w:left="360"/>
      </w:pPr>
      <w:r>
        <w:rPr>
          <w:rFonts w:ascii="Arial" w:hAnsi="Arial"/>
          <w:rFonts w:eastAsia="微軟正黑體"/>
          <w:b/>
          <w:i w:val="0"/>
          <w:color w:val="0F172A"/>
          <w:sz w:val="22"/>
        </w:rPr>
        <w:t xml:space="preserve">1. </w:t>
      </w:r>
      <w:r>
        <w:rPr>
          <w:rFonts w:ascii="Arial" w:hAnsi="Arial"/>
          <w:rFonts w:eastAsia="微軟正黑體"/>
          <w:b w:val="0"/>
          <w:i w:val="0"/>
          <w:color w:val="0F172A"/>
          <w:sz w:val="22"/>
        </w:rPr>
        <w:t>測速照相機位置資料：內政部警政署開放資料 (NPA TD1)，內含照相機之經緯度坐標、設置行政區與限速資訊。</w:t>
      </w:r>
    </w:p>
    <w:p>
      <w:pPr>
        <w:spacing w:line="300" w:lineRule="auto" w:after="120"/>
        <w:ind w:left="360"/>
      </w:pPr>
      <w:r>
        <w:rPr>
          <w:rFonts w:ascii="Arial" w:hAnsi="Arial"/>
          <w:rFonts w:eastAsia="微軟正黑體"/>
          <w:b/>
          <w:i w:val="0"/>
          <w:color w:val="0F172A"/>
          <w:sz w:val="22"/>
        </w:rPr>
        <w:t xml:space="preserve">2. </w:t>
      </w:r>
      <w:r>
        <w:rPr>
          <w:rFonts w:ascii="Arial" w:hAnsi="Arial"/>
          <w:rFonts w:eastAsia="微軟正黑體"/>
          <w:b w:val="0"/>
          <w:i w:val="0"/>
          <w:color w:val="0F172A"/>
          <w:sz w:val="22"/>
        </w:rPr>
        <w:t>道路交通事故資料：內政部警政署 A1/A2 類道路交通事故資料 (NPA TMA2)，包含歷年事故經緯度、發生時間與受傷人數。</w:t>
      </w:r>
    </w:p>
    <w:p>
      <w:pPr>
        <w:spacing w:line="300" w:lineRule="auto" w:after="120"/>
        <w:ind w:left="360"/>
      </w:pPr>
      <w:r>
        <w:rPr>
          <w:rFonts w:ascii="Arial" w:hAnsi="Arial"/>
          <w:rFonts w:eastAsia="微軟正黑體"/>
          <w:b/>
          <w:i w:val="0"/>
          <w:color w:val="0F172A"/>
          <w:sz w:val="22"/>
        </w:rPr>
        <w:t xml:space="preserve">3. </w:t>
      </w:r>
      <w:r>
        <w:rPr>
          <w:rFonts w:ascii="Arial" w:hAnsi="Arial"/>
          <w:rFonts w:eastAsia="微軟正黑體"/>
          <w:b w:val="0"/>
          <w:i w:val="0"/>
          <w:color w:val="0F172A"/>
          <w:sz w:val="22"/>
        </w:rPr>
        <w:t>行政區域邊界資料：內政部國土測繪中心之臺灣行政區域界線圖 (Shapefile)，用於進行行政區過濾與空間掩膜遮罩 (Masking)。</w:t>
      </w:r>
    </w:p>
    <w:p>
      <w:pPr>
        <w:keepNext/>
        <w:spacing w:before="240" w:after="80"/>
      </w:pPr>
      <w:r>
        <w:rPr>
          <w:rFonts w:ascii="Arial" w:hAnsi="Arial"/>
          <w:rFonts w:eastAsia="微軟正黑體"/>
          <w:b/>
          <w:i w:val="0"/>
          <w:color w:val="475569"/>
          <w:sz w:val="28"/>
        </w:rPr>
        <w:t>2.2 資料預處理與投影轉換 / Preprocessing &amp; Projection</w:t>
      </w:r>
    </w:p>
    <w:p>
      <w:pPr>
        <w:spacing w:line="300" w:lineRule="auto" w:after="120"/>
      </w:pPr>
      <w:r>
        <w:rPr>
          <w:rFonts w:ascii="Arial" w:hAnsi="Arial"/>
          <w:rFonts w:eastAsia="微軟正黑體"/>
          <w:b w:val="0"/>
          <w:i w:val="0"/>
          <w:color w:val="0F172A"/>
          <w:sz w:val="22"/>
        </w:rPr>
        <w:t>在資料處理過程中，因為經緯度（WGS84, EPSG:4326）是以度為單位，不便於進行公尺（meter）等級的空間緩衝區 (Buffer) 距離計算。因此，我們使用 GeoPandas 將所有資料點轉換為二度分帶 TWD97/TM2 (EPSG:3826) 投影坐標系統：</w:t>
      </w:r>
    </w:p>
    <w:p>
      <w:pPr>
        <w:spacing w:before="120" w:after="120" w:line="276" w:lineRule="auto"/>
        <w:ind w:left="576"/>
        <w:shd w:fill="F1F5F9"/>
        <w:pBdr>
          <w:left w:val="single" w:sz="18" w:space="8" w:color="CBD5E1"/>
        </w:pBdr>
      </w:pPr>
      <w:r>
        <w:rPr>
          <w:rFonts w:ascii="Consolas" w:hAnsi="Consolas"/>
          <w:rFonts w:eastAsia="Consolas"/>
          <w:b w:val="0"/>
          <w:i w:val="0"/>
          <w:color w:val="10B981"/>
          <w:sz w:val="19"/>
        </w:rPr>
        <w:t># 坐標投影轉換範例 (Projection Conversion)</w:t>
        <w:br/>
        <w:t>import geopandas as gpd</w:t>
        <w:br/>
        <w:br/>
        <w:t># 載入測速相機位置 CSV 並轉換為 GeoDataFrame</w:t>
        <w:br/>
        <w:t>df_cameras = gpd.GeoDataFrame(</w:t>
        <w:br/>
        <w:t xml:space="preserve">    df, </w:t>
        <w:br/>
        <w:t xml:space="preserve">    geometry=gpd.points_from_xy(df.Longitude, df.Latitude),</w:t>
        <w:br/>
        <w:t xml:space="preserve">    crs="EPSG:4326"</w:t>
        <w:br/>
        <w:t>)</w:t>
        <w:br/>
        <w:t># 轉換為台灣 TWD97 二度分帶投影坐標系統 (EPSG:3826)</w:t>
        <w:br/>
        <w:t>gdf_cameras_twd97 = df_cameras.to_crs(epsg=3826)</w:t>
      </w:r>
    </w:p>
    <w:p>
      <w:pPr>
        <w:spacing w:line="300" w:lineRule="auto" w:after="120"/>
      </w:pPr>
      <w:r>
        <w:rPr>
          <w:rFonts w:ascii="Arial" w:hAnsi="Arial"/>
          <w:rFonts w:eastAsia="微軟正黑體"/>
          <w:b w:val="0"/>
          <w:i w:val="0"/>
          <w:color w:val="0F172A"/>
          <w:sz w:val="22"/>
        </w:rPr>
        <w:t>此外，資料預處理階段亦排除了國道/高速公路上的測速照相與事故，以便聚焦於都市一般道路與地方幹道之研究。</w:t>
      </w:r>
    </w:p>
    <w:p>
      <w:pPr>
        <w:keepNext/>
        <w:spacing w:before="360" w:after="120"/>
      </w:pPr>
      <w:r>
        <w:rPr>
          <w:rFonts w:ascii="Arial" w:hAnsi="Arial"/>
          <w:rFonts w:eastAsia="微軟正黑體"/>
          <w:b/>
          <w:i w:val="0"/>
          <w:color w:val="1E3A8A"/>
          <w:sz w:val="36"/>
        </w:rPr>
        <w:t>第三章：空間地理分析與平滑化 / Chapter 3: Geospatial Analysis &amp; Smoothing</w:t>
      </w:r>
    </w:p>
    <w:p>
      <w:pPr>
        <w:spacing w:line="300" w:lineRule="auto" w:after="120"/>
      </w:pPr>
      <w:r>
        <w:rPr>
          <w:rFonts w:ascii="Arial" w:hAnsi="Arial"/>
          <w:rFonts w:eastAsia="微軟正黑體"/>
          <w:b w:val="0"/>
          <w:i w:val="0"/>
          <w:color w:val="0F172A"/>
          <w:sz w:val="22"/>
        </w:rPr>
        <w:t>為了呈現高畫質的視覺化分布地圖，本專案導入了地理空間繪圖引擎 PyGMT：</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1. 我們先以台北市行政區邊界為掩膜 (Mask)，遮蔽境外與海域無關區域。</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2. 為了減少行政區交界處的邊界效應，我們將點密度的離散分布，透過 GMT 的連續網格平滑插值演算法，繪製出反映車禍熱點連續變化的二維密度表面圖。</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3. 本步驟成功產出了 5 張歷年台北市與雙北市的地理密度分布圖，這些圖表已被成功網格化，並保存在 final project 的輸出中。</w:t>
      </w:r>
    </w:p>
    <w:p>
      <w:pPr>
        <w:keepNext/>
        <w:spacing w:before="360" w:after="120"/>
      </w:pPr>
      <w:r>
        <w:rPr>
          <w:rFonts w:ascii="Arial" w:hAnsi="Arial"/>
          <w:rFonts w:eastAsia="微軟正黑體"/>
          <w:b/>
          <w:i w:val="0"/>
          <w:color w:val="1E3A8A"/>
          <w:sz w:val="36"/>
        </w:rPr>
        <w:t>第四章：半徑敏感度分析與相關性研究 / Chapter 4: Radii Sensitivity &amp; Correlation</w:t>
      </w:r>
    </w:p>
    <w:p>
      <w:pPr>
        <w:keepNext/>
        <w:spacing w:before="240" w:after="80"/>
      </w:pPr>
      <w:r>
        <w:rPr>
          <w:rFonts w:ascii="Arial" w:hAnsi="Arial"/>
          <w:rFonts w:eastAsia="微軟正黑體"/>
          <w:b/>
          <w:i w:val="0"/>
          <w:color w:val="475569"/>
          <w:sz w:val="28"/>
        </w:rPr>
        <w:t>4.1 空間半徑敏感度分析 / Spatial Radius Sensitivity</w:t>
      </w:r>
    </w:p>
    <w:p>
      <w:pPr>
        <w:spacing w:line="300" w:lineRule="auto" w:after="120"/>
      </w:pPr>
      <w:r>
        <w:rPr>
          <w:rFonts w:ascii="Arial" w:hAnsi="Arial"/>
          <w:rFonts w:eastAsia="微軟正黑體"/>
          <w:b w:val="0"/>
          <w:i w:val="0"/>
          <w:color w:val="0F172A"/>
          <w:sz w:val="22"/>
        </w:rPr>
        <w:t>本專案設計了一套空間緩衝區敏感度分析方法。我們以每台測速照相機為中心，建立半徑 $r$ 範圍的空間圓形 Buffer，計算落入該範圍內的歷年車禍總次數。搜尋半徑 $r$ 設定為 500公尺至 10,000公尺（步長為1000m/2000m）。此舉是為了探討在何種空間尺度下，照相機密度與車禍熱點有最強的空間重疊性。</w:t>
      </w:r>
    </w:p>
    <w:p>
      <w:pPr>
        <w:spacing w:line="300" w:lineRule="auto" w:after="120"/>
      </w:pPr>
      <w:r>
        <w:rPr>
          <w:rFonts w:ascii="Arial" w:hAnsi="Arial"/>
          <w:rFonts w:eastAsia="微軟正黑體"/>
          <w:b w:val="0"/>
          <w:i/>
          <w:color w:val="0F172A"/>
          <w:sz w:val="22"/>
        </w:rPr>
        <w:t>This project designs a spatial buffer sensitivity analysis. Around each camera, a circular buffer of radius $r$ is established to count local accidents. The search radius $r$ varies from 500m to 10,000m to evaluate at which scale the spatial overlaps are strongest.</w:t>
      </w:r>
    </w:p>
    <w:p>
      <w:pPr>
        <w:spacing w:before="120" w:after="120" w:line="276" w:lineRule="auto"/>
        <w:ind w:left="576"/>
        <w:shd w:fill="F1F5F9"/>
        <w:pBdr>
          <w:left w:val="single" w:sz="18" w:space="8" w:color="CBD5E1"/>
        </w:pBdr>
      </w:pPr>
      <w:r>
        <w:rPr>
          <w:rFonts w:ascii="Consolas" w:hAnsi="Consolas"/>
          <w:rFonts w:eastAsia="Consolas"/>
          <w:b w:val="0"/>
          <w:i w:val="0"/>
          <w:color w:val="10B981"/>
          <w:sz w:val="19"/>
        </w:rPr>
        <w:t># 空間緩衝區敏感度計算邏輯 (Spatial Buffer Loop)</w:t>
        <w:br/>
        <w:t>for r in radii_list:</w:t>
        <w:br/>
        <w:t xml:space="preserve">    # 建立每個相機半徑 r 的 Buffer 幾何</w:t>
        <w:br/>
        <w:t xml:space="preserve">    camera_buffers = gdf_cameras.geometry.buffer(r)</w:t>
        <w:br/>
        <w:t xml:space="preserve">    </w:t>
        <w:br/>
        <w:t xml:space="preserve">    # 統計落在每個 Buffer 內的事故數量</w:t>
        <w:br/>
        <w:t xml:space="preserve">    counts = []</w:t>
        <w:br/>
        <w:t xml:space="preserve">    for buf in camera_buffers:</w:t>
        <w:br/>
        <w:t xml:space="preserve">        accidents_in_buf = gdf_accidents[gdf_accidents.geometry.within(buf)]</w:t>
        <w:br/>
        <w:t xml:space="preserve">        counts.append(len(accidents_in_buf))</w:t>
      </w:r>
    </w:p>
    <w:p>
      <w:pPr>
        <w:keepNext/>
        <w:spacing w:before="240" w:after="80"/>
      </w:pPr>
      <w:r>
        <w:rPr>
          <w:rFonts w:ascii="Arial" w:hAnsi="Arial"/>
          <w:rFonts w:eastAsia="微軟正黑體"/>
          <w:b/>
          <w:i w:val="0"/>
          <w:color w:val="475569"/>
          <w:sz w:val="28"/>
        </w:rPr>
        <w:t>4.2 Spearman 等級相關係數分析 / Spearman Rank Correlation</w:t>
      </w:r>
    </w:p>
    <w:p>
      <w:pPr>
        <w:spacing w:line="300" w:lineRule="auto" w:after="120"/>
      </w:pPr>
      <w:r>
        <w:rPr>
          <w:rFonts w:ascii="Arial" w:hAnsi="Arial"/>
          <w:rFonts w:eastAsia="微軟正黑體"/>
          <w:b w:val="0"/>
          <w:i w:val="0"/>
          <w:color w:val="0F172A"/>
          <w:sz w:val="22"/>
        </w:rPr>
        <w:t>在獲得各相機點在特定半徑 $r$ 內的車禍統計數後，我們計算其與相機局部密度（行政區點計數）的 Spearman 相關係數：</w:t>
      </w:r>
    </w:p>
    <w:p>
      <w:pPr>
        <w:spacing w:line="300" w:lineRule="auto" w:after="120"/>
      </w:pPr>
      <w:r>
        <w:rPr>
          <w:rFonts w:ascii="Arial" w:hAnsi="Arial"/>
          <w:rFonts w:eastAsia="微軟正黑體"/>
          <w:b w:val="0"/>
          <w:i w:val="0"/>
          <w:color w:val="0F172A"/>
          <w:sz w:val="22"/>
        </w:rPr>
        <w:t>分析結果顯示：在搜尋半徑為 3000m 到 5000m 之間時，測速照相密度與車禍發生密度呈現統計上顯著的正相關（P-value &lt; 0.05）。這表明在 3~5公里的中尺度範圍內，測速照相的設置熱點高度與車禍熱點重合，反映出執法部門在配置相機時確實傾向將其部署在車禍頻傳的高風險路段。</w:t>
      </w:r>
    </w:p>
    <w:p>
      <w:pPr>
        <w:keepNext/>
        <w:spacing w:before="360" w:after="120"/>
      </w:pPr>
      <w:r>
        <w:rPr>
          <w:rFonts w:ascii="Arial" w:hAnsi="Arial"/>
          <w:rFonts w:eastAsia="微軟正黑體"/>
          <w:b/>
          <w:i w:val="0"/>
          <w:color w:val="1E3A8A"/>
          <w:sz w:val="36"/>
        </w:rPr>
        <w:t>第五章：雙北市對比分析與假說檢定 / Chapter 5: Comparative Analysis &amp; Hypothesis Testing</w:t>
      </w:r>
    </w:p>
    <w:p>
      <w:pPr>
        <w:keepNext/>
        <w:spacing w:before="240" w:after="80"/>
      </w:pPr>
      <w:r>
        <w:rPr>
          <w:rFonts w:ascii="Arial" w:hAnsi="Arial"/>
          <w:rFonts w:eastAsia="微軟正黑體"/>
          <w:b/>
          <w:i w:val="0"/>
          <w:color w:val="475569"/>
          <w:sz w:val="28"/>
        </w:rPr>
        <w:t>5.1 雙北市空間變異對比 / Taipei vs New Taipei Comparison</w:t>
      </w:r>
    </w:p>
    <w:p>
      <w:pPr>
        <w:spacing w:line="300" w:lineRule="auto" w:after="120"/>
      </w:pPr>
      <w:r>
        <w:rPr>
          <w:rFonts w:ascii="Arial" w:hAnsi="Arial"/>
          <w:rFonts w:eastAsia="微軟正黑體"/>
          <w:b w:val="0"/>
          <w:i w:val="0"/>
          <w:color w:val="0F172A"/>
          <w:sz w:val="22"/>
        </w:rPr>
        <w:t>本專案進一步比對了臺北市與新北市在不同半徑下的相關係數。數據顯示新北市因為轄區較大、人口分布較分散，其測速與車禍的相關係數在較小半徑下弱於台北市，但在較大半徑下趨於一致。</w:t>
      </w:r>
    </w:p>
    <w:p>
      <w:pPr>
        <w:keepNext/>
        <w:spacing w:before="240" w:after="80"/>
      </w:pPr>
      <w:r>
        <w:rPr>
          <w:rFonts w:ascii="Arial" w:hAnsi="Arial"/>
          <w:rFonts w:eastAsia="微軟正黑體"/>
          <w:b/>
          <w:i w:val="0"/>
          <w:color w:val="475569"/>
          <w:sz w:val="28"/>
        </w:rPr>
        <w:t>5.2 Mann-Whitney U 無母數假說檢定 / Mann-Whitney U Test</w:t>
      </w:r>
    </w:p>
    <w:p>
      <w:pPr>
        <w:spacing w:line="300" w:lineRule="auto" w:after="120"/>
      </w:pPr>
      <w:r>
        <w:rPr>
          <w:rFonts w:ascii="Arial" w:hAnsi="Arial"/>
          <w:rFonts w:eastAsia="微軟正黑體"/>
          <w:b w:val="0"/>
          <w:i w:val="0"/>
          <w:color w:val="0F172A"/>
          <w:sz w:val="22"/>
        </w:rPr>
        <w:t>由於雙北兩市的車禍數分布不符合常態分布，我們採用無母數的 **Mann-Whitney U 檢定** 來驗證雙北市的事故分布是否存在顯著的統計學差異。</w:t>
      </w:r>
    </w:p>
    <w:p>
      <w:pPr>
        <w:spacing w:line="300" w:lineRule="auto" w:after="120"/>
      </w:pPr>
      <w:r>
        <w:rPr>
          <w:rFonts w:ascii="Arial" w:hAnsi="Arial"/>
          <w:rFonts w:eastAsia="微軟正黑體"/>
          <w:b w:val="0"/>
          <w:i w:val="0"/>
          <w:color w:val="0F172A"/>
          <w:sz w:val="22"/>
        </w:rPr>
        <w:t>統計結果得出，在絕大多數敏感度半徑下，P-value 皆小於顯著水準 0.05，這表示我們可以拒絕虛無假說 $H_0$，認為雙北兩市的測速照相周邊車禍分布具有顯著的空間結構差異。</w:t>
      </w:r>
    </w:p>
    <w:p>
      <w:pPr>
        <w:keepNext/>
        <w:spacing w:before="240" w:after="80"/>
      </w:pPr>
      <w:r>
        <w:rPr>
          <w:rFonts w:ascii="Arial" w:hAnsi="Arial"/>
          <w:rFonts w:eastAsia="微軟正黑體"/>
          <w:b/>
          <w:i w:val="0"/>
          <w:color w:val="475569"/>
          <w:sz w:val="28"/>
        </w:rPr>
        <w:t>5.3 矩陣代數線性建模 (LS &amp; WLS) / Ordinary &amp; Weighted Least Squares</w:t>
      </w:r>
    </w:p>
    <w:p>
      <w:pPr>
        <w:spacing w:line="300" w:lineRule="auto" w:after="120"/>
      </w:pPr>
      <w:r>
        <w:rPr>
          <w:rFonts w:ascii="Arial" w:hAnsi="Arial"/>
          <w:rFonts w:eastAsia="微軟正黑體"/>
          <w:b w:val="0"/>
          <w:i w:val="0"/>
          <w:color w:val="0F172A"/>
          <w:sz w:val="22"/>
        </w:rPr>
        <w:t>本專案在 `utils.py` 中使用 NumPy 獨立封裝了普通最小平方法 (LS) 與加權最小平方法 (WLS) 線性估算演算法。公式分別為：</w:t>
      </w:r>
    </w:p>
    <w:p>
      <w:pPr>
        <w:spacing w:line="300" w:lineRule="auto" w:after="120"/>
      </w:pPr>
      <w:r>
        <w:rPr>
          <w:rFonts w:ascii="Arial" w:hAnsi="Arial"/>
          <w:rFonts w:eastAsia="微軟正黑體"/>
          <w:b w:val="0"/>
          <w:i w:val="0"/>
          <w:color w:val="0F172A"/>
          <w:sz w:val="22"/>
        </w:rPr>
        <w:t>• 普通最小平方 (OLS)：  m = (Gᵀ G)⁻¹ Gᵀ d</w:t>
      </w:r>
    </w:p>
    <w:p>
      <w:pPr>
        <w:spacing w:line="300" w:lineRule="auto" w:after="120"/>
      </w:pPr>
      <w:r>
        <w:rPr>
          <w:rFonts w:ascii="Arial" w:hAnsi="Arial"/>
          <w:rFonts w:eastAsia="微軟正黑體"/>
          <w:b w:val="0"/>
          <w:i w:val="0"/>
          <w:color w:val="0F172A"/>
          <w:sz w:val="22"/>
        </w:rPr>
        <w:t>• 加權最小平方 (WLS)：  m = (Gᵀ W G)⁻¹ Gᵀ W d  (其中 W 為權重矩陣，用於修正異質變異)</w:t>
      </w:r>
    </w:p>
    <w:p>
      <w:pPr>
        <w:spacing w:before="120" w:after="120" w:line="276" w:lineRule="auto"/>
        <w:ind w:left="576"/>
        <w:shd w:fill="F1F5F9"/>
        <w:pBdr>
          <w:left w:val="single" w:sz="18" w:space="8" w:color="CBD5E1"/>
        </w:pBdr>
      </w:pPr>
      <w:r>
        <w:rPr>
          <w:rFonts w:ascii="Consolas" w:hAnsi="Consolas"/>
          <w:rFonts w:eastAsia="Consolas"/>
          <w:b w:val="0"/>
          <w:i w:val="0"/>
          <w:color w:val="10B981"/>
          <w:sz w:val="19"/>
        </w:rPr>
        <w:t># utils.py - 矩陣求解 WLS 線性參數</w:t>
        <w:br/>
        <w:t>def solveWLS(G, d, W):</w:t>
        <w:br/>
        <w:t xml:space="preserve">    m = np.linalg.inv(G.T @ W @ G) @ G.T @ W @ d</w:t>
        <w:br/>
        <w:t xml:space="preserve">    e = d - G @ m</w:t>
        <w:br/>
        <w:t xml:space="preserve">    RSS = np.sum(e**2)</w:t>
        <w:br/>
        <w:t xml:space="preserve">    n, p = len(d), len(m)</w:t>
        <w:br/>
        <w:t xml:space="preserve">    residual_variance = RSS / (n - p)</w:t>
        <w:br/>
        <w:t xml:space="preserve">    return m, RSS, residual_variance</w:t>
      </w:r>
    </w:p>
    <w:p>
      <w:pPr>
        <w:keepNext/>
        <w:spacing w:before="360" w:after="120"/>
      </w:pPr>
      <w:r>
        <w:rPr>
          <w:rFonts w:ascii="Arial" w:hAnsi="Arial"/>
          <w:rFonts w:eastAsia="微軟正黑體"/>
          <w:b/>
          <w:i w:val="0"/>
          <w:color w:val="1E3A8A"/>
          <w:sz w:val="36"/>
        </w:rPr>
        <w:t>第六章：結論與研究建議 / Chapter 6: Conclusion &amp; Recommendations</w:t>
      </w:r>
    </w:p>
    <w:p>
      <w:pPr>
        <w:keepNext/>
        <w:spacing w:before="240" w:after="80"/>
      </w:pPr>
      <w:r>
        <w:rPr>
          <w:rFonts w:ascii="Arial" w:hAnsi="Arial"/>
          <w:rFonts w:eastAsia="微軟正黑體"/>
          <w:b/>
          <w:i w:val="0"/>
          <w:color w:val="475569"/>
          <w:sz w:val="28"/>
        </w:rPr>
        <w:t>6.1 研究結論 / Conclusions</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1. 空間尺度效應：測速照相密度與車禍密度的關聯性具有顯著的空間尺度效應，在 3~5 公里中尺度半徑下正相關性最強。</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2. 執法熱點配置：Spearman 顯著的正相關係數證實了目前雙北市測速照相機大多被合理配置在車禍熱點頻發路段。</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3. 雙北顯著差異：MWU 檢定證實雙北市在相同的空間尺度下，測速周邊事故分布存在顯著統計學差異，這暗示兩市的交通形態與道路密度可能具有本質上的不同。</w:t>
      </w:r>
    </w:p>
    <w:p>
      <w:pPr>
        <w:keepNext/>
        <w:spacing w:before="240" w:after="80"/>
      </w:pPr>
      <w:r>
        <w:rPr>
          <w:rFonts w:ascii="Arial" w:hAnsi="Arial"/>
          <w:rFonts w:eastAsia="微軟正黑體"/>
          <w:b/>
          <w:i w:val="0"/>
          <w:color w:val="475569"/>
          <w:sz w:val="28"/>
        </w:rPr>
        <w:t>6.2 未來研究建議 / Future Work</w:t>
      </w:r>
    </w:p>
    <w:p>
      <w:pPr>
        <w:spacing w:line="300" w:lineRule="auto" w:after="120"/>
      </w:pPr>
      <w:r>
        <w:rPr>
          <w:rFonts w:ascii="Arial" w:hAnsi="Arial"/>
          <w:rFonts w:eastAsia="微軟正黑體"/>
          <w:b w:val="0"/>
          <w:i w:val="0"/>
          <w:color w:val="0F172A"/>
          <w:sz w:val="22"/>
        </w:rPr>
        <w:t>未來可以引入時間序列分析，進一步探討「測速照相機裝設後」的前後對比（Before-After Study），以確實評估測速相機對事故預防的「因果關係」與「減量成效」，並導入車流量 (Traffic Volume) 作為控制變數進行加權最小平方 (WLS) 迴歸。</w:t>
      </w:r>
    </w:p>
    <w:p>
      <w:pPr>
        <w:spacing w:line="300" w:lineRule="auto" w:after="120"/>
      </w:pPr>
      <w:r>
        <w:rPr>
          <w:rFonts w:ascii="Arial" w:hAnsi="Arial"/>
          <w:rFonts w:eastAsia="微軟正黑體"/>
          <w:b w:val="0"/>
          <w:i/>
          <w:color w:val="0F172A"/>
          <w:sz w:val="22"/>
        </w:rPr>
        <w:t>Future research can integrate time-series to perform a Before-After study, evaluating the causal effect of camera installation. Control variables like traffic volume can also be introduced as WLS weights.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