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rFonts w:ascii="Arial" w:hAnsi="Arial"/>
          <w:rFonts w:eastAsia="微軟正黑體"/>
          <w:b/>
          <w:i w:val="0"/>
          <w:color w:val="1E3A8A"/>
          <w:sz w:val="48"/>
        </w:rPr>
        <w:t>臺北市測速照相設立合理性分析</w:t>
        <w:br/>
        <w:t>期末專案書面報告</w:t>
      </w:r>
    </w:p>
    <w:p>
      <w:pPr>
        <w:spacing w:after="1600"/>
        <w:jc w:val="center"/>
      </w:pPr>
      <w:r>
        <w:rPr>
          <w:rFonts w:ascii="Arial" w:hAnsi="Arial"/>
          <w:rFonts w:eastAsia="微軟正黑體"/>
          <w:b w:val="0"/>
          <w:i/>
          <w:color w:val="475569"/>
          <w:sz w:val="26"/>
        </w:rPr>
        <w:t>Reasonableness Analysis of Speed Camera Deployment in Taipei City</w:t>
        <w:br/>
        <w:t>Spatial Correlation and Statistical Testing (110 - 113)</w:t>
      </w:r>
    </w:p>
    <w:p>
      <w:pPr>
        <w:spacing w:line="384" w:lineRule="auto" w:after="2000"/>
        <w:jc w:val="center"/>
      </w:pPr>
      <w:r>
        <w:rPr>
          <w:rFonts w:ascii="Arial" w:hAnsi="Arial"/>
          <w:rFonts w:eastAsia="微軟正黑體"/>
          <w:b/>
          <w:i w:val="0"/>
          <w:color w:val="0F172A"/>
          <w:sz w:val="26"/>
        </w:rPr>
        <w:t>專案作者：謝念祖、祝國維</w:t>
        <w:br/>
      </w:r>
      <w:r>
        <w:rPr>
          <w:rFonts w:ascii="Arial" w:hAnsi="Arial"/>
          <w:rFonts w:eastAsia="微軟正黑體"/>
          <w:b w:val="0"/>
          <w:i w:val="0"/>
          <w:color w:val="475569"/>
          <w:sz w:val="22"/>
        </w:rPr>
        <w:t>分工說明：謝念祖 (Coding、簡報) / 祝國維 (簡報、主題發想)</w:t>
        <w:br/>
        <w:br/>
      </w:r>
      <w:r>
        <w:rPr>
          <w:rFonts w:ascii="Arial" w:hAnsi="Arial"/>
          <w:rFonts w:eastAsia="微軟正黑體"/>
          <w:b w:val="0"/>
          <w:i w:val="0"/>
          <w:color w:val="0F172A"/>
          <w:sz w:val="22"/>
        </w:rPr>
        <w:t>課程名稱：資料科學 (Data Science)</w:t>
        <w:br/>
        <w:t>學術單位：國立臺灣師範大學 (NTNU)</w:t>
        <w:br/>
        <w:t>報告格式：中英雙語對照學術報告</w:t>
      </w:r>
    </w:p>
    <w:p>
      <w:r>
        <w:br w:type="page"/>
      </w:r>
    </w:p>
    <w:p>
      <w:pPr>
        <w:keepNext/>
        <w:spacing w:before="360" w:after="120"/>
      </w:pPr>
      <w:r>
        <w:rPr>
          <w:rFonts w:ascii="Arial" w:hAnsi="Arial"/>
          <w:rFonts w:eastAsia="微軟正黑體"/>
          <w:b/>
          <w:i w:val="0"/>
          <w:color w:val="1E3A8A"/>
          <w:sz w:val="36"/>
        </w:rPr>
        <w:t>第一章：研究背景與目標 / Chapter 1: Objectives &amp; Background</w:t>
      </w:r>
    </w:p>
    <w:p>
      <w:pPr>
        <w:keepNext/>
        <w:spacing w:before="240" w:after="80"/>
      </w:pPr>
      <w:r>
        <w:rPr>
          <w:rFonts w:ascii="Arial" w:hAnsi="Arial"/>
          <w:rFonts w:eastAsia="微軟正黑體"/>
          <w:b/>
          <w:i w:val="0"/>
          <w:color w:val="475569"/>
          <w:sz w:val="28"/>
        </w:rPr>
        <w:t>1.1 研究背景與動機 / Research Motivation</w:t>
      </w:r>
    </w:p>
    <w:p>
      <w:pPr>
        <w:spacing w:line="300" w:lineRule="auto" w:after="120"/>
      </w:pPr>
      <w:r>
        <w:rPr>
          <w:rFonts w:ascii="Arial" w:hAnsi="Arial"/>
          <w:rFonts w:eastAsia="微軟正黑體"/>
          <w:b w:val="0"/>
          <w:i w:val="0"/>
          <w:color w:val="0F172A"/>
          <w:sz w:val="22"/>
        </w:rPr>
        <w:t>台灣的交通事故不斷，因超速造成的車禍屢見不鮮。而測速照相機的核心功能是促使駕駛人為避免受罰而降低車速，進而達到預防事故發生的效果。然而，測速照相機的設置是否確實與車禍發生密度存在空間關聯？我們希望透過資料科學方法，比較「事故發生密度越高的地方，是否與測速照相機的數量存在顯著關聯」，以此評估測速照相機設立的合理性與執法配置效率。</w:t>
      </w:r>
    </w:p>
    <w:p>
      <w:pPr>
        <w:spacing w:line="300" w:lineRule="auto" w:after="120"/>
      </w:pPr>
      <w:r>
        <w:rPr>
          <w:rFonts w:ascii="Arial" w:hAnsi="Arial"/>
          <w:rFonts w:eastAsia="微軟正黑體"/>
          <w:b w:val="0"/>
          <w:i/>
          <w:color w:val="0F172A"/>
          <w:sz w:val="22"/>
        </w:rPr>
        <w:t>Traffic accidents in Taiwan occur frequently, with speeding being a primary cause. The main function of speed enforcement cameras is to encourage drivers to slow down to avoid penalties, thereby preventing accidents. This study compares whether areas with higher accident densities correlate with a higher number of speed cameras, evaluating the rationality and deployment efficiency of camera placement.</w:t>
      </w:r>
    </w:p>
    <w:p>
      <w:pPr>
        <w:keepNext/>
        <w:spacing w:before="240" w:after="80"/>
      </w:pPr>
      <w:r>
        <w:rPr>
          <w:rFonts w:ascii="Arial" w:hAnsi="Arial"/>
          <w:rFonts w:eastAsia="微軟正黑體"/>
          <w:b/>
          <w:i w:val="0"/>
          <w:color w:val="475569"/>
          <w:sz w:val="28"/>
        </w:rPr>
        <w:t>1.2 研究目標 / Project Objectives</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1. 彙整雙北市（臺北市與新北市）歷年（民國110年至113年）之測速相機位置與交通事故點資料。</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2. 進行空間半徑敏感度分析（500m至10,000m），驗證測速照相密度與周邊車禍發生數的 Spearman 等級相關性。</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3. 採用 Fisher's Z-test 檢定雙北市在各半徑下的相關係數是否存在統計上的顯著差異，驗證兩市相關性是否一致。</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4. 以「每台測速照相機之事故負荷比」為分析變數，採用 Mann-Whitney U 檢定比較雙北市的分布差異，評估設置合理性。</w:t>
      </w:r>
    </w:p>
    <w:p>
      <w:pPr>
        <w:keepNext/>
        <w:spacing w:before="360" w:after="120"/>
      </w:pPr>
      <w:r>
        <w:rPr>
          <w:rFonts w:ascii="Arial" w:hAnsi="Arial"/>
          <w:rFonts w:eastAsia="微軟正黑體"/>
          <w:b/>
          <w:i w:val="0"/>
          <w:color w:val="1E3A8A"/>
          <w:sz w:val="36"/>
        </w:rPr>
        <w:t>第二章：資料來源與預處理 / Chapter 2: Data Sources &amp; Preprocessing</w:t>
      </w:r>
    </w:p>
    <w:p>
      <w:pPr>
        <w:keepNext/>
        <w:spacing w:before="240" w:after="80"/>
      </w:pPr>
      <w:r>
        <w:rPr>
          <w:rFonts w:ascii="Arial" w:hAnsi="Arial"/>
          <w:rFonts w:eastAsia="微軟正黑體"/>
          <w:b/>
          <w:i w:val="0"/>
          <w:color w:val="475569"/>
          <w:sz w:val="28"/>
        </w:rPr>
        <w:t>2.1 資料來源 / Data Sources</w:t>
      </w:r>
    </w:p>
    <w:p>
      <w:pPr>
        <w:spacing w:line="300" w:lineRule="auto" w:after="120"/>
      </w:pPr>
      <w:r>
        <w:rPr>
          <w:rFonts w:ascii="Arial" w:hAnsi="Arial"/>
          <w:rFonts w:eastAsia="微軟正黑體"/>
          <w:b w:val="0"/>
          <w:i w:val="0"/>
          <w:color w:val="0F172A"/>
          <w:sz w:val="22"/>
        </w:rPr>
        <w:t>本專案結合了以下主要開放資料集：</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鄉鎮市區幾何資料：內政部國土測繪中心 (TGOS)，提供行政區邊界 Shapefile。</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測速站點資料：政府資料開放平台 (data.gov.tw)，利用 Wayback Machine 取得歷年（110年至114年）資料點。</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鄉鎮市區面積資料：維基百科之中華民國臺灣地區鄉鎮市區列表，用於計算密度。</w:t>
      </w:r>
    </w:p>
    <w:p>
      <w:pPr>
        <w:spacing w:line="300" w:lineRule="auto" w:after="120"/>
        <w:ind w:left="360"/>
      </w:pPr>
      <w:r>
        <w:rPr>
          <w:rFonts w:ascii="Arial" w:hAnsi="Arial"/>
          <w:rFonts w:eastAsia="微軟正黑體"/>
          <w:b/>
          <w:i w:val="0"/>
          <w:color w:val="0F172A"/>
          <w:sz w:val="22"/>
        </w:rPr>
        <w:t xml:space="preserve">• </w:t>
      </w:r>
      <w:r>
        <w:rPr>
          <w:rFonts w:ascii="Arial" w:hAnsi="Arial"/>
          <w:rFonts w:eastAsia="微軟正黑體"/>
          <w:b w:val="0"/>
          <w:i w:val="0"/>
          <w:color w:val="0F172A"/>
          <w:sz w:val="22"/>
        </w:rPr>
        <w:t>臺北市與全台事故資料 (A2類)：臺北市政府資料開放平台及政府資料開放平台，包含事故發生時間與經緯度標記。</w:t>
      </w:r>
    </w:p>
    <w:p>
      <w:pPr>
        <w:keepNext/>
        <w:spacing w:before="240" w:after="80"/>
      </w:pPr>
      <w:r>
        <w:rPr>
          <w:rFonts w:ascii="Arial" w:hAnsi="Arial"/>
          <w:rFonts w:eastAsia="微軟正黑體"/>
          <w:b/>
          <w:i w:val="0"/>
          <w:color w:val="475569"/>
          <w:sz w:val="28"/>
        </w:rPr>
        <w:t>2.2 空間投影轉換 / Spatial Projection Conversion</w:t>
      </w:r>
    </w:p>
    <w:p>
      <w:pPr>
        <w:spacing w:line="300" w:lineRule="auto" w:after="120"/>
      </w:pPr>
      <w:r>
        <w:rPr>
          <w:rFonts w:ascii="Arial" w:hAnsi="Arial"/>
          <w:rFonts w:eastAsia="微軟正黑體"/>
          <w:b w:val="0"/>
          <w:i w:val="0"/>
          <w:color w:val="0F172A"/>
          <w:sz w:val="22"/>
        </w:rPr>
        <w:t>為進行精確的距離（公尺，meter）計算，我們使用 GeoPandas 將 WGS84 (EPSG:4326) 坐標點投射至台灣 TWD97 二度分帶 (EPSG:3826) 坐標系統，並排除國道/高速公路之數據以聚焦於市區道路。</w:t>
      </w:r>
    </w:p>
    <w:p>
      <w:pPr>
        <w:spacing w:before="120" w:after="120" w:line="276" w:lineRule="auto"/>
        <w:ind w:left="576"/>
        <w:shd w:fill="F1F5F9"/>
        <w:pBdr>
          <w:left w:val="single" w:sz="18" w:space="8" w:color="CBD5E1"/>
        </w:pBdr>
      </w:pPr>
      <w:r>
        <w:rPr>
          <w:rFonts w:ascii="Consolas" w:hAnsi="Consolas"/>
          <w:rFonts w:eastAsia="Consolas"/>
          <w:b w:val="0"/>
          <w:i w:val="0"/>
          <w:color w:val="10B981"/>
          <w:sz w:val="19"/>
        </w:rPr>
        <w:t># GeoPandas 投影轉換範例</w:t>
        <w:br/>
        <w:t>import geopandas as gpd</w:t>
        <w:br/>
        <w:br/>
        <w:t># 載入 CSV 事故數據並定義 WGS84 幾何</w:t>
        <w:br/>
        <w:t>gdf_accidents = gpd.GeoDataFrame(</w:t>
        <w:br/>
        <w:t xml:space="preserve">    df, geometry=gpd.points_from_xy(df['經度'], df['緯度']), crs="EPSG:4326"</w:t>
        <w:br/>
        <w:t>)</w:t>
        <w:br/>
        <w:t># 投影轉換至 TWD97 / TM2 zone 121 (EPSG:3826)</w:t>
        <w:br/>
        <w:t>gdf_accidents = gdf_accidents.to_crs(epsg=3826)</w:t>
      </w:r>
    </w:p>
    <w:p>
      <w:pPr>
        <w:keepNext/>
        <w:spacing w:before="360" w:after="120"/>
      </w:pPr>
      <w:r>
        <w:rPr>
          <w:rFonts w:ascii="Arial" w:hAnsi="Arial"/>
          <w:rFonts w:eastAsia="微軟正黑體"/>
          <w:b/>
          <w:i w:val="0"/>
          <w:color w:val="1E3A8A"/>
          <w:sz w:val="36"/>
        </w:rPr>
        <w:t>第三章：空間分析方法與平滑化 / Chapter 3: Spatial Methods &amp; Interpolation</w:t>
      </w:r>
    </w:p>
    <w:p>
      <w:pPr>
        <w:keepNext/>
        <w:spacing w:before="240" w:after="80"/>
      </w:pPr>
      <w:r>
        <w:rPr>
          <w:rFonts w:ascii="Arial" w:hAnsi="Arial"/>
          <w:rFonts w:eastAsia="微軟正黑體"/>
          <w:b/>
          <w:i w:val="0"/>
          <w:color w:val="475569"/>
          <w:sz w:val="28"/>
        </w:rPr>
        <w:t>3.1 行政區測速照相數量計算 / Camera Count per District</w:t>
      </w:r>
    </w:p>
    <w:p>
      <w:pPr>
        <w:spacing w:line="300" w:lineRule="auto" w:after="120"/>
      </w:pPr>
      <w:r>
        <w:rPr>
          <w:rFonts w:ascii="Arial" w:hAnsi="Arial"/>
          <w:rFonts w:eastAsia="微軟正黑體"/>
          <w:b w:val="0"/>
          <w:i w:val="0"/>
          <w:color w:val="0F172A"/>
          <w:sz w:val="22"/>
        </w:rPr>
        <w:t>透過 GeoPandas 中的 sjoin (Spatial Join) 函式，配合行政區邊界資料，計算各個行政區內包含的測速照相數量。sjoin 概念是將行政區作為篩選條件（box），符合空間相交的測速照相機點裝入對應的行政區內，最後計算各區的相機總數，除以該區面積得到照相機平均密度（個數/km²）。</w:t>
      </w:r>
    </w:p>
    <w:p>
      <w:pPr>
        <w:keepNext/>
        <w:spacing w:before="240" w:after="80"/>
      </w:pPr>
      <w:r>
        <w:rPr>
          <w:rFonts w:ascii="Arial" w:hAnsi="Arial"/>
          <w:rFonts w:eastAsia="微軟正黑體"/>
          <w:b/>
          <w:i w:val="0"/>
          <w:color w:val="475569"/>
          <w:sz w:val="28"/>
        </w:rPr>
        <w:t>3.2 固定半徑範圍密度計算 / Fixed Radius Density</w:t>
      </w:r>
    </w:p>
    <w:p>
      <w:pPr>
        <w:spacing w:line="300" w:lineRule="auto" w:after="120"/>
      </w:pPr>
      <w:r>
        <w:rPr>
          <w:rFonts w:ascii="Arial" w:hAnsi="Arial"/>
          <w:rFonts w:eastAsia="微軟正黑體"/>
          <w:b w:val="0"/>
          <w:i w:val="0"/>
          <w:color w:val="0F172A"/>
          <w:sz w:val="22"/>
        </w:rPr>
        <w:t>在每個測速照相點方圓 5000m 範圍內，使用 sjoin 計算範圍內之照相機點數量。由於搜尋面積固定，此數值可視為該區域測速照相點的局部空間密度。</w:t>
      </w:r>
    </w:p>
    <w:p>
      <w:pPr>
        <w:keepNext/>
        <w:spacing w:before="240" w:after="80"/>
      </w:pPr>
      <w:r>
        <w:rPr>
          <w:rFonts w:ascii="Arial" w:hAnsi="Arial"/>
          <w:rFonts w:eastAsia="微軟正黑體"/>
          <w:b/>
          <w:i w:val="0"/>
          <w:color w:val="475569"/>
          <w:sz w:val="28"/>
        </w:rPr>
        <w:t>3.3 PyGMT 資料平滑結果 / Surface Interpolation via PyGMT</w:t>
      </w:r>
    </w:p>
    <w:p>
      <w:pPr>
        <w:spacing w:line="300" w:lineRule="auto" w:after="120"/>
      </w:pPr>
      <w:r>
        <w:rPr>
          <w:rFonts w:ascii="Arial" w:hAnsi="Arial"/>
          <w:rFonts w:eastAsia="微軟正黑體"/>
          <w:b w:val="0"/>
          <w:i w:val="0"/>
          <w:color w:val="0F172A"/>
          <w:sz w:val="22"/>
        </w:rPr>
        <w:t>透過 PyGMT 的 surface 函式對上述離散的點數據進行網格平滑化，以得到臺北市整體的測速照相密度分布。結果顯示：陽明山等邊緣與山區地帶的測速照相密度極低，而萬華、中正、大安區等市中心區域的測速照相密度極高。</w:t>
      </w:r>
    </w:p>
    <w:p>
      <w:pPr>
        <w:keepNext/>
        <w:spacing w:before="360" w:after="120"/>
      </w:pPr>
      <w:r>
        <w:rPr>
          <w:rFonts w:ascii="Arial" w:hAnsi="Arial"/>
          <w:rFonts w:eastAsia="微軟正黑體"/>
          <w:b/>
          <w:i w:val="0"/>
          <w:color w:val="1E3A8A"/>
          <w:sz w:val="36"/>
        </w:rPr>
        <w:t>第四章：統計檢定與分析步驟 / Chapter 4: Statistical Testing &amp; Analysis Steps</w:t>
      </w:r>
    </w:p>
    <w:p>
      <w:pPr>
        <w:keepNext/>
        <w:spacing w:before="240" w:after="80"/>
      </w:pPr>
      <w:r>
        <w:rPr>
          <w:rFonts w:ascii="Arial" w:hAnsi="Arial"/>
          <w:rFonts w:eastAsia="微軟正黑體"/>
          <w:b/>
          <w:i w:val="0"/>
          <w:color w:val="475569"/>
          <w:sz w:val="28"/>
        </w:rPr>
        <w:t>4.1 斯皮爾曼等級相關分析 / Spearman's Rank Correlation (Step One)</w:t>
      </w:r>
    </w:p>
    <w:p>
      <w:pPr>
        <w:spacing w:line="300" w:lineRule="auto" w:after="120"/>
      </w:pPr>
      <w:r>
        <w:rPr>
          <w:rFonts w:ascii="Arial" w:hAnsi="Arial"/>
          <w:rFonts w:eastAsia="微軟正黑體"/>
          <w:b w:val="0"/>
          <w:i w:val="0"/>
          <w:color w:val="0F172A"/>
          <w:sz w:val="22"/>
        </w:rPr>
        <w:t>斯皮爾曼等級相關係數適用於判定兩組非常態分布數據之間的空間相關性。它透過對變數進行排名 (ranking) 比對，避免了極端值 (outliers) 的影響，且不要求資料呈線性關係。</w:t>
      </w:r>
    </w:p>
    <w:p>
      <w:pPr>
        <w:spacing w:line="300" w:lineRule="auto" w:after="120"/>
      </w:pPr>
      <w:r>
        <w:rPr>
          <w:rFonts w:ascii="Arial" w:hAnsi="Arial"/>
          <w:rFonts w:eastAsia="微軟正黑體"/>
          <w:b w:val="0"/>
          <w:i w:val="0"/>
          <w:color w:val="0F172A"/>
          <w:sz w:val="22"/>
        </w:rPr>
        <w:t>我們在不同搜尋半徑下統計測速相機周邊車禍數，並與相機點密度進行 Spearman 相關分析。**台北市 110 年至 113 年的分析數據如下：**</w:t>
      </w:r>
    </w:p>
    <w:p>
      <w:pPr>
        <w:spacing w:line="300" w:lineRule="auto" w:after="120"/>
        <w:ind w:left="360"/>
      </w:pPr>
      <w:r>
        <w:rPr>
          <w:rFonts w:ascii="Arial" w:hAnsi="Arial"/>
          <w:rFonts w:eastAsia="微軟正黑體"/>
          <w:b w:val="0"/>
          <w:i w:val="0"/>
          <w:color w:val="0F172A"/>
          <w:sz w:val="22"/>
        </w:rPr>
        <w:t>• 民國 110 年：最優半徑為 5,400 公尺，相關係數 ρ = 0.672，P-value = 3.99e-11 (具顯著正相關)。</w:t>
      </w:r>
    </w:p>
    <w:p>
      <w:pPr>
        <w:spacing w:line="300" w:lineRule="auto" w:after="120"/>
        <w:ind w:left="360"/>
      </w:pPr>
      <w:r>
        <w:rPr>
          <w:rFonts w:ascii="Arial" w:hAnsi="Arial"/>
          <w:rFonts w:eastAsia="微軟正黑體"/>
          <w:b w:val="0"/>
          <w:i w:val="0"/>
          <w:color w:val="0F172A"/>
          <w:sz w:val="22"/>
        </w:rPr>
        <w:t>• 民國 111 年：最優半徑為 5,400 公尺，相關係數 ρ = 0.690，P-value = 6.96e-12 (具顯著正相關)。</w:t>
      </w:r>
    </w:p>
    <w:p>
      <w:pPr>
        <w:spacing w:line="300" w:lineRule="auto" w:after="120"/>
        <w:ind w:left="360"/>
      </w:pPr>
      <w:r>
        <w:rPr>
          <w:rFonts w:ascii="Arial" w:hAnsi="Arial"/>
          <w:rFonts w:eastAsia="微軟正黑體"/>
          <w:b w:val="0"/>
          <w:i w:val="0"/>
          <w:color w:val="0F172A"/>
          <w:sz w:val="22"/>
        </w:rPr>
        <w:t>• 民國 112 年：最優半徑為 5,400 公尺，相關係數 ρ = 0.684，P-value = 1.26e-11 (具顯著正相關)。</w:t>
      </w:r>
    </w:p>
    <w:p>
      <w:pPr>
        <w:spacing w:line="300" w:lineRule="auto" w:after="120"/>
        <w:ind w:left="360"/>
      </w:pPr>
      <w:r>
        <w:rPr>
          <w:rFonts w:ascii="Arial" w:hAnsi="Arial"/>
          <w:rFonts w:eastAsia="微軟正黑體"/>
          <w:b w:val="0"/>
          <w:i w:val="0"/>
          <w:color w:val="0F172A"/>
          <w:sz w:val="22"/>
        </w:rPr>
        <w:t>• 民國 113 年：最優半徑為 5,400 公尺，相關係數 ρ = 0.700，P-value = 2.53e-12 (具顯著正相關)。</w:t>
      </w:r>
    </w:p>
    <w:p>
      <w:pPr>
        <w:spacing w:line="300" w:lineRule="auto" w:after="120"/>
      </w:pPr>
      <w:r>
        <w:rPr>
          <w:rFonts w:ascii="Arial" w:hAnsi="Arial"/>
          <w:rFonts w:eastAsia="微軟正黑體"/>
          <w:b w:val="0"/>
          <w:i w:val="0"/>
          <w:color w:val="0F172A"/>
          <w:sz w:val="22"/>
        </w:rPr>
        <w:t>結論顯示：大部分的搜尋半徑下，兩者皆具備統計學上的顯著正相關。在 5,400 公尺（5.4公里）半徑下相關強度達到峰值，證實測速照相機設置熱點與車禍熱點高度吻合。</w:t>
      </w:r>
    </w:p>
    <w:p>
      <w:pPr>
        <w:keepNext/>
        <w:spacing w:before="240" w:after="80"/>
      </w:pPr>
      <w:r>
        <w:rPr>
          <w:rFonts w:ascii="Arial" w:hAnsi="Arial"/>
          <w:rFonts w:eastAsia="微軟正黑體"/>
          <w:b/>
          <w:i w:val="0"/>
          <w:color w:val="475569"/>
          <w:sz w:val="28"/>
        </w:rPr>
        <w:t>4.2 雙北相關性一致性檢定 / Fisher's Z-test (Step Two)</w:t>
      </w:r>
    </w:p>
    <w:p>
      <w:pPr>
        <w:spacing w:line="300" w:lineRule="auto" w:after="120"/>
      </w:pPr>
      <w:r>
        <w:rPr>
          <w:rFonts w:ascii="Arial" w:hAnsi="Arial"/>
          <w:rFonts w:eastAsia="微軟正黑體"/>
          <w:b w:val="0"/>
          <w:i w:val="0"/>
          <w:color w:val="0F172A"/>
          <w:sz w:val="22"/>
        </w:rPr>
        <w:t>我們使用 **Fisher's Z-test** 比較臺北市與新北市兩個獨立樣本的 Spearman 相關係數是否存在顯著差異。過程是將兩市的等級相關係數 $r_1, r_2$ 進行 Fisher r-to-z 轉換，將其轉為近似常態分布之 Z 值後進行 Z 檢定。</w:t>
      </w:r>
    </w:p>
    <w:p>
      <w:pPr>
        <w:spacing w:line="300" w:lineRule="auto" w:after="120"/>
      </w:pPr>
      <w:r>
        <w:rPr>
          <w:rFonts w:ascii="Arial" w:hAnsi="Arial"/>
          <w:rFonts w:eastAsia="微軟正黑體"/>
          <w:b w:val="0"/>
          <w:i w:val="0"/>
          <w:color w:val="0F172A"/>
          <w:sz w:val="22"/>
        </w:rPr>
        <w:t>結果顯示：在絕大多數空間半徑範圍內，臺北市與新北市的車禍與測速照相數量相關性**無顯著差異**（P-value &gt;= 0.05，標題呈現綠色），兩市的相關性表現高度一致。</w:t>
      </w:r>
    </w:p>
    <w:p>
      <w:pPr>
        <w:keepNext/>
        <w:spacing w:before="240" w:after="80"/>
      </w:pPr>
      <w:r>
        <w:rPr>
          <w:rFonts w:ascii="Arial" w:hAnsi="Arial"/>
          <w:rFonts w:eastAsia="微軟正黑體"/>
          <w:b/>
          <w:i w:val="0"/>
          <w:color w:val="475569"/>
          <w:sz w:val="28"/>
        </w:rPr>
        <w:t>4.3 雙北測速照相負荷比檢定 / Mann-Whitney U Test (Step Three)</w:t>
      </w:r>
    </w:p>
    <w:p>
      <w:pPr>
        <w:spacing w:line="300" w:lineRule="auto" w:after="120"/>
      </w:pPr>
      <w:r>
        <w:rPr>
          <w:rFonts w:ascii="Arial" w:hAnsi="Arial"/>
          <w:rFonts w:eastAsia="微軟正黑體"/>
          <w:b w:val="0"/>
          <w:i w:val="0"/>
          <w:color w:val="0F172A"/>
          <w:sz w:val="22"/>
        </w:rPr>
        <w:t>我們定義 **「事故負荷比 = 該半徑內事故數 ÷ 該半徑內測速照相總數」**，代表單台測速相機所分擔/負載的車禍率，負荷比越低表示相機設置越足夠。由於負荷比不呈常態分布且包含極端值，我們採用無母數的 **Mann-Whitney U 檢定**。</w:t>
      </w:r>
    </w:p>
    <w:p>
      <w:pPr>
        <w:spacing w:line="300" w:lineRule="auto" w:after="120"/>
      </w:pPr>
      <w:r>
        <w:rPr>
          <w:rFonts w:ascii="Arial" w:hAnsi="Arial"/>
          <w:rFonts w:eastAsia="微軟正黑體"/>
          <w:b w:val="0"/>
          <w:i w:val="0"/>
          <w:color w:val="0F172A"/>
          <w:sz w:val="22"/>
        </w:rPr>
        <w:t>檢定結果表明：**在 9.5 公里搜尋半徑內，臺北市的測速照相負荷比顯著小於新北市**（P-value &lt; 0.05，拒絕 $H_0$）。這反映了在較大區域尺度下，臺北市單台相機負載的事故率較低。</w:t>
      </w:r>
    </w:p>
    <w:p>
      <w:pPr>
        <w:keepNext/>
        <w:spacing w:before="360" w:after="120"/>
      </w:pPr>
      <w:r>
        <w:rPr>
          <w:rFonts w:ascii="Arial" w:hAnsi="Arial"/>
          <w:rFonts w:eastAsia="微軟正黑體"/>
          <w:b/>
          <w:i w:val="0"/>
          <w:color w:val="1E3A8A"/>
          <w:sz w:val="36"/>
        </w:rPr>
        <w:t>第五章：研究討論與可能偏差 / Chapter 5: Discussion &amp; Potential Bias</w:t>
      </w:r>
    </w:p>
    <w:p>
      <w:pPr>
        <w:spacing w:line="300" w:lineRule="auto" w:after="120"/>
      </w:pPr>
      <w:r>
        <w:rPr>
          <w:rFonts w:ascii="Arial" w:hAnsi="Arial"/>
          <w:rFonts w:eastAsia="微軟正黑體"/>
          <w:b w:val="0"/>
          <w:i w:val="0"/>
          <w:color w:val="0F172A"/>
          <w:sz w:val="22"/>
        </w:rPr>
        <w:t>本專案識別出以下可能影響分析結果之偏差 (Bias)：</w:t>
      </w:r>
    </w:p>
    <w:p>
      <w:pPr>
        <w:spacing w:line="300" w:lineRule="auto" w:after="120"/>
        <w:ind w:left="360"/>
      </w:pPr>
      <w:r>
        <w:rPr>
          <w:rFonts w:ascii="Arial" w:hAnsi="Arial"/>
          <w:rFonts w:eastAsia="微軟正黑體"/>
          <w:b/>
          <w:i w:val="0"/>
          <w:color w:val="0F172A"/>
          <w:sz w:val="22"/>
        </w:rPr>
        <w:t xml:space="preserve">1. </w:t>
      </w:r>
      <w:r>
        <w:rPr>
          <w:rFonts w:ascii="Arial" w:hAnsi="Arial"/>
          <w:rFonts w:eastAsia="微軟正黑體"/>
          <w:b w:val="0"/>
          <w:i w:val="0"/>
          <w:color w:val="0F172A"/>
          <w:sz w:val="22"/>
        </w:rPr>
        <w:t>縣市邊界效應：邊界區域的緩衝區計算可能重複考慮或包含到行政區外的車禍數據，導致數據重疊誤差。</w:t>
      </w:r>
    </w:p>
    <w:p>
      <w:pPr>
        <w:spacing w:line="300" w:lineRule="auto" w:after="120"/>
        <w:ind w:left="360"/>
      </w:pPr>
      <w:r>
        <w:rPr>
          <w:rFonts w:ascii="Arial" w:hAnsi="Arial"/>
          <w:rFonts w:eastAsia="微軟正黑體"/>
          <w:b/>
          <w:i w:val="0"/>
          <w:color w:val="0F172A"/>
          <w:sz w:val="22"/>
        </w:rPr>
        <w:t xml:space="preserve">2. </w:t>
      </w:r>
      <w:r>
        <w:rPr>
          <w:rFonts w:ascii="Arial" w:hAnsi="Arial"/>
          <w:rFonts w:eastAsia="微軟正黑體"/>
          <w:b w:val="0"/>
          <w:i w:val="0"/>
          <w:color w:val="0F172A"/>
          <w:sz w:val="22"/>
        </w:rPr>
        <w:t>車流量數據不足：本研究挑選新北市作為對照組，主要基於其與台北市同屬大台北生活圈並假設車流量相近。然而，目前缺乏與空間高度相關的精確路段車流量數據（政府公開資料多基於路段且無經緯度），難以直接排除車流量對車禍密度的干擾。</w:t>
      </w:r>
    </w:p>
    <w:p>
      <w:pPr>
        <w:spacing w:line="300" w:lineRule="auto" w:after="120"/>
        <w:ind w:left="360"/>
      </w:pPr>
      <w:r>
        <w:rPr>
          <w:rFonts w:ascii="Arial" w:hAnsi="Arial"/>
          <w:rFonts w:eastAsia="微軟正黑體"/>
          <w:b/>
          <w:i w:val="0"/>
          <w:color w:val="0F172A"/>
          <w:sz w:val="22"/>
        </w:rPr>
        <w:t xml:space="preserve">3. </w:t>
      </w:r>
      <w:r>
        <w:rPr>
          <w:rFonts w:ascii="Arial" w:hAnsi="Arial"/>
          <w:rFonts w:eastAsia="微軟正黑體"/>
          <w:b w:val="0"/>
          <w:i w:val="0"/>
          <w:color w:val="0F172A"/>
          <w:sz w:val="22"/>
        </w:rPr>
        <w:t>未考慮路口設計：車禍發生極大程度取決於道路與路口設計之良莠。新北市殘留的不良設計路口比例可能高於臺北市，此變數未能在模型中被控制。</w:t>
      </w:r>
    </w:p>
    <w:p>
      <w:pPr>
        <w:spacing w:line="300" w:lineRule="auto" w:after="120"/>
        <w:ind w:left="360"/>
      </w:pPr>
      <w:r>
        <w:rPr>
          <w:rFonts w:ascii="Arial" w:hAnsi="Arial"/>
          <w:rFonts w:eastAsia="微軟正黑體"/>
          <w:b/>
          <w:i w:val="0"/>
          <w:color w:val="0F172A"/>
          <w:sz w:val="22"/>
        </w:rPr>
        <w:t xml:space="preserve">4. </w:t>
      </w:r>
      <w:r>
        <w:rPr>
          <w:rFonts w:ascii="Arial" w:hAnsi="Arial"/>
          <w:rFonts w:eastAsia="微軟正黑體"/>
          <w:b w:val="0"/>
          <w:i w:val="0"/>
          <w:color w:val="0F172A"/>
          <w:sz w:val="22"/>
        </w:rPr>
        <w:t>測速照相基數不同：新北市幅員廣大且有 200 多個測速照相點，而臺北市僅有 70 多個，兩組樣本基數差異可能導致統計上的偏差。</w:t>
      </w:r>
    </w:p>
    <w:p>
      <w:pPr>
        <w:keepNext/>
        <w:spacing w:before="360" w:after="120"/>
      </w:pPr>
      <w:r>
        <w:rPr>
          <w:rFonts w:ascii="Arial" w:hAnsi="Arial"/>
          <w:rFonts w:eastAsia="微軟正黑體"/>
          <w:b/>
          <w:i w:val="0"/>
          <w:color w:val="1E3A8A"/>
          <w:sz w:val="36"/>
        </w:rPr>
        <w:t>第六章：結論與研究建議 / Chapter 6: Conclusions</w:t>
      </w:r>
    </w:p>
    <w:p>
      <w:pPr>
        <w:keepNext/>
        <w:spacing w:before="240" w:after="80"/>
      </w:pPr>
      <w:r>
        <w:rPr>
          <w:rFonts w:ascii="Arial" w:hAnsi="Arial"/>
          <w:rFonts w:eastAsia="微軟正黑體"/>
          <w:b/>
          <w:i w:val="0"/>
          <w:color w:val="475569"/>
          <w:sz w:val="28"/>
        </w:rPr>
        <w:t>6.1 研究結論 / Conclusions</w:t>
      </w:r>
    </w:p>
    <w:p>
      <w:pPr>
        <w:spacing w:line="300" w:lineRule="auto" w:after="120"/>
        <w:ind w:left="360"/>
      </w:pPr>
      <w:r>
        <w:rPr>
          <w:rFonts w:ascii="Arial" w:hAnsi="Arial"/>
          <w:rFonts w:eastAsia="微軟正黑體"/>
          <w:b/>
          <w:i w:val="0"/>
          <w:color w:val="0F172A"/>
          <w:sz w:val="22"/>
        </w:rPr>
        <w:t xml:space="preserve">1. </w:t>
      </w:r>
      <w:r>
        <w:rPr>
          <w:rFonts w:ascii="Arial" w:hAnsi="Arial"/>
          <w:rFonts w:eastAsia="微軟正黑體"/>
          <w:b w:val="0"/>
          <w:i w:val="0"/>
          <w:color w:val="0F172A"/>
          <w:sz w:val="22"/>
        </w:rPr>
        <w:t>測速照相與事故正相關：根據 Spearman 相關分析，在大部分空間半徑下，測速照相數量與車禍發生數量皆呈顯著正相關，驗證了相機多設置於車禍多發處之合理性。</w:t>
      </w:r>
    </w:p>
    <w:p>
      <w:pPr>
        <w:spacing w:line="300" w:lineRule="auto" w:after="120"/>
        <w:ind w:left="360"/>
      </w:pPr>
      <w:r>
        <w:rPr>
          <w:rFonts w:ascii="Arial" w:hAnsi="Arial"/>
          <w:rFonts w:eastAsia="微軟正黑體"/>
          <w:b/>
          <w:i w:val="0"/>
          <w:color w:val="0F172A"/>
          <w:sz w:val="22"/>
        </w:rPr>
        <w:t xml:space="preserve">2. </w:t>
      </w:r>
      <w:r>
        <w:rPr>
          <w:rFonts w:ascii="Arial" w:hAnsi="Arial"/>
          <w:rFonts w:eastAsia="微軟正黑體"/>
          <w:b w:val="0"/>
          <w:i w:val="0"/>
          <w:color w:val="0F172A"/>
          <w:sz w:val="22"/>
        </w:rPr>
        <w:t>雙北相關性一致：根據 Fisher's Z-test，在大多數範圍內，臺北市與新北市的事故發生與測速相機數量的相關性並無顯著差異。</w:t>
      </w:r>
    </w:p>
    <w:p>
      <w:pPr>
        <w:spacing w:line="300" w:lineRule="auto" w:after="120"/>
        <w:ind w:left="360"/>
      </w:pPr>
      <w:r>
        <w:rPr>
          <w:rFonts w:ascii="Arial" w:hAnsi="Arial"/>
          <w:rFonts w:eastAsia="微軟正黑體"/>
          <w:b/>
          <w:i w:val="0"/>
          <w:color w:val="0F172A"/>
          <w:sz w:val="22"/>
        </w:rPr>
        <w:t xml:space="preserve">3. </w:t>
      </w:r>
      <w:r>
        <w:rPr>
          <w:rFonts w:ascii="Arial" w:hAnsi="Arial"/>
          <w:rFonts w:eastAsia="微軟正黑體"/>
          <w:b w:val="0"/>
          <w:i w:val="0"/>
          <w:color w:val="0F172A"/>
          <w:sz w:val="22"/>
        </w:rPr>
        <w:t>臺北市設置合理性較高：以新北市為對照，在假設相同範圍內事故發生數量相近的前提下，臺北市在 9.5 公里範圍內的測速照相負荷比顯著低於新北市，說明臺北市的測速照相機設置數量相對較足夠，合理性較高。</w:t>
      </w:r>
    </w:p>
    <w:p>
      <w:pPr>
        <w:keepNext/>
        <w:spacing w:before="240" w:after="80"/>
      </w:pPr>
      <w:r>
        <w:rPr>
          <w:rFonts w:ascii="Arial" w:hAnsi="Arial"/>
          <w:rFonts w:eastAsia="微軟正黑體"/>
          <w:b/>
          <w:i w:val="0"/>
          <w:color w:val="475569"/>
          <w:sz w:val="28"/>
        </w:rPr>
        <w:t>6.2 未來改進方向 / Future Recommendations</w:t>
      </w:r>
    </w:p>
    <w:p>
      <w:pPr>
        <w:spacing w:line="300" w:lineRule="auto" w:after="120"/>
      </w:pPr>
      <w:r>
        <w:rPr>
          <w:rFonts w:ascii="Arial" w:hAnsi="Arial"/>
          <w:rFonts w:eastAsia="微軟正黑體"/>
          <w:b w:val="0"/>
          <w:i w:val="0"/>
          <w:color w:val="0F172A"/>
          <w:sz w:val="22"/>
        </w:rPr>
        <w:t>後續研究應嘗試克服車流量與路口設計數據不足之限制。建議調用本專案 utils.py 中封裝之普通最小平方法 (solveLS) 與加權最小平方法 (solveWLS) 線性估算模組，並導入車流量作為加權矩陣 W 之權重，建立更為精準的加權線性迴歸模型，以更客觀評估測速相機對防範車禍之實質因果成效。</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