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08863" w14:textId="3516C428" w:rsidR="00E60116" w:rsidRDefault="00E60116" w:rsidP="00E60116">
      <w:pPr>
        <w:rPr>
          <w:rFonts w:ascii="Calibri" w:hAnsi="Calibri" w:cs="Calibri"/>
        </w:rPr>
      </w:pPr>
      <w:r>
        <w:rPr>
          <w:rFonts w:ascii="Calibri" w:hAnsi="Calibri" w:cs="Calibri"/>
        </w:rPr>
        <w:t>Daniel Preller</w:t>
      </w:r>
    </w:p>
    <w:p w14:paraId="74418515" w14:textId="6E13D1B2" w:rsidR="00E60116" w:rsidRDefault="00E60116" w:rsidP="00E60116">
      <w:pPr>
        <w:rPr>
          <w:rFonts w:ascii="Calibri" w:hAnsi="Calibri" w:cs="Calibri"/>
        </w:rPr>
      </w:pPr>
      <w:r>
        <w:rPr>
          <w:rFonts w:ascii="Calibri" w:hAnsi="Calibri" w:cs="Calibri"/>
        </w:rPr>
        <w:t>4 March 2026</w:t>
      </w:r>
    </w:p>
    <w:p w14:paraId="5888DC27" w14:textId="3173E862" w:rsidR="00E60116" w:rsidRDefault="00E60116" w:rsidP="00E60116">
      <w:pPr>
        <w:rPr>
          <w:rFonts w:ascii="Calibri" w:hAnsi="Calibri" w:cs="Calibri"/>
        </w:rPr>
      </w:pPr>
      <w:r>
        <w:rPr>
          <w:rFonts w:ascii="Calibri" w:hAnsi="Calibri" w:cs="Calibri"/>
        </w:rPr>
        <w:t>Assignment 12</w:t>
      </w:r>
    </w:p>
    <w:p w14:paraId="05E38E93" w14:textId="77777777" w:rsidR="00E60116" w:rsidRDefault="00E60116" w:rsidP="00E60116">
      <w:pPr>
        <w:rPr>
          <w:rFonts w:ascii="Calibri" w:hAnsi="Calibri" w:cs="Calibri"/>
        </w:rPr>
      </w:pPr>
    </w:p>
    <w:p w14:paraId="317B074E" w14:textId="4F0946C4" w:rsidR="00E60116" w:rsidRPr="00E60116" w:rsidRDefault="00E60116" w:rsidP="00E60116">
      <w:pPr>
        <w:jc w:val="center"/>
        <w:rPr>
          <w:rFonts w:ascii="Calibri" w:hAnsi="Calibri" w:cs="Calibri"/>
        </w:rPr>
      </w:pPr>
      <w:r>
        <w:rPr>
          <w:rFonts w:ascii="Calibri" w:hAnsi="Calibri" w:cs="Calibri"/>
          <w:b/>
          <w:bCs/>
        </w:rPr>
        <w:t>Telemetry and Compliance</w:t>
      </w:r>
    </w:p>
    <w:p w14:paraId="486D4FCE" w14:textId="419539ED" w:rsidR="0039251F" w:rsidRDefault="0039251F" w:rsidP="003356B5">
      <w:pPr>
        <w:spacing w:line="480" w:lineRule="auto"/>
        <w:ind w:firstLine="720"/>
        <w:rPr>
          <w:rFonts w:ascii="Calibri" w:hAnsi="Calibri" w:cs="Calibri"/>
        </w:rPr>
      </w:pPr>
      <w:r>
        <w:rPr>
          <w:rFonts w:ascii="Calibri" w:hAnsi="Calibri" w:cs="Calibri"/>
        </w:rPr>
        <w:t xml:space="preserve">DevOps focuses on combining development and operations. Compliance auditors, however, often focus on separation of duties, which in many cases means separating </w:t>
      </w:r>
      <w:r w:rsidR="00D812D3">
        <w:rPr>
          <w:rFonts w:ascii="Calibri" w:hAnsi="Calibri" w:cs="Calibri"/>
        </w:rPr>
        <w:t>these two groups</w:t>
      </w:r>
      <w:r>
        <w:rPr>
          <w:rFonts w:ascii="Calibri" w:hAnsi="Calibri" w:cs="Calibri"/>
        </w:rPr>
        <w:t xml:space="preserve">. Additionally, many of their methods for proving compliance are not compatible with modern DevOps patterns. This creates a problem because </w:t>
      </w:r>
      <w:proofErr w:type="gramStart"/>
      <w:r>
        <w:rPr>
          <w:rFonts w:ascii="Calibri" w:hAnsi="Calibri" w:cs="Calibri"/>
        </w:rPr>
        <w:t>organizations are</w:t>
      </w:r>
      <w:proofErr w:type="gramEnd"/>
      <w:r>
        <w:rPr>
          <w:rFonts w:ascii="Calibri" w:hAnsi="Calibri" w:cs="Calibri"/>
        </w:rPr>
        <w:t xml:space="preserve"> seemingly unable to reap the efficiency and quality benefits of DevOps while remaining compliant with regulations. Despite these challenges, multiple organizations have been able to overcome them and demonstrate that DevOps practices can</w:t>
      </w:r>
      <w:r w:rsidR="00D812D3">
        <w:rPr>
          <w:rFonts w:ascii="Calibri" w:hAnsi="Calibri" w:cs="Calibri"/>
        </w:rPr>
        <w:t xml:space="preserve"> </w:t>
      </w:r>
      <w:proofErr w:type="gramStart"/>
      <w:r w:rsidR="00D812D3">
        <w:rPr>
          <w:rFonts w:ascii="Calibri" w:hAnsi="Calibri" w:cs="Calibri"/>
        </w:rPr>
        <w:t>actually</w:t>
      </w:r>
      <w:r>
        <w:rPr>
          <w:rFonts w:ascii="Calibri" w:hAnsi="Calibri" w:cs="Calibri"/>
        </w:rPr>
        <w:t xml:space="preserve"> be</w:t>
      </w:r>
      <w:proofErr w:type="gramEnd"/>
      <w:r>
        <w:rPr>
          <w:rFonts w:ascii="Calibri" w:hAnsi="Calibri" w:cs="Calibri"/>
        </w:rPr>
        <w:t xml:space="preserve"> used to improve security and compliance.</w:t>
      </w:r>
    </w:p>
    <w:p w14:paraId="259C2A02" w14:textId="383AF247" w:rsidR="002B3D7F" w:rsidRDefault="005D4144" w:rsidP="003356B5">
      <w:pPr>
        <w:spacing w:line="480" w:lineRule="auto"/>
        <w:ind w:firstLine="720"/>
        <w:rPr>
          <w:rFonts w:ascii="Calibri" w:hAnsi="Calibri" w:cs="Calibri"/>
        </w:rPr>
      </w:pPr>
      <w:r>
        <w:rPr>
          <w:rFonts w:ascii="Calibri" w:hAnsi="Calibri" w:cs="Calibri"/>
        </w:rPr>
        <w:t xml:space="preserve">Auditors and regulators are often trained in ways that are incompatible with DevOps practices, focusing too much on separation of duties and strict reporting evidence than on methods that </w:t>
      </w:r>
      <w:proofErr w:type="gramStart"/>
      <w:r>
        <w:rPr>
          <w:rFonts w:ascii="Calibri" w:hAnsi="Calibri" w:cs="Calibri"/>
        </w:rPr>
        <w:t>actually prevent</w:t>
      </w:r>
      <w:proofErr w:type="gramEnd"/>
      <w:r>
        <w:rPr>
          <w:rFonts w:ascii="Calibri" w:hAnsi="Calibri" w:cs="Calibri"/>
        </w:rPr>
        <w:t xml:space="preserve"> fraud and ensure compliance. Two case studies illustrate this point. The first comes from Bill Shinn, principal security solutions architect at AWS. Shinn reports how, for instance, many auditors expect to see a percentage sample of production servers. In a traditional, physical environment, this is not a problem. In a DevOps environment where the number of servers can change throughout the day, this is not feasible. “When infrastructure is code, and when auto-scaling makes servers appear and disappear all the time, how do you sample that?” (Kim et al</w:t>
      </w:r>
      <w:r w:rsidR="00791890">
        <w:rPr>
          <w:rFonts w:ascii="Calibri" w:hAnsi="Calibri" w:cs="Calibri"/>
        </w:rPr>
        <w:t>.</w:t>
      </w:r>
      <w:r>
        <w:rPr>
          <w:rFonts w:ascii="Calibri" w:hAnsi="Calibri" w:cs="Calibri"/>
        </w:rPr>
        <w:t xml:space="preserve">, 2021, p. 390). These strict auditing requirements create a problem by seemingly limiting </w:t>
      </w:r>
      <w:r w:rsidR="00791890">
        <w:rPr>
          <w:rFonts w:ascii="Calibri" w:hAnsi="Calibri" w:cs="Calibri"/>
        </w:rPr>
        <w:t>system architectures to only those that work with the auditors’ methods.</w:t>
      </w:r>
    </w:p>
    <w:p w14:paraId="67080053" w14:textId="5487158C" w:rsidR="00791890" w:rsidRDefault="00791890" w:rsidP="003356B5">
      <w:pPr>
        <w:spacing w:line="480" w:lineRule="auto"/>
        <w:ind w:firstLine="720"/>
        <w:rPr>
          <w:rFonts w:ascii="Calibri" w:hAnsi="Calibri" w:cs="Calibri"/>
        </w:rPr>
      </w:pPr>
      <w:r>
        <w:rPr>
          <w:rFonts w:ascii="Calibri" w:hAnsi="Calibri" w:cs="Calibri"/>
        </w:rPr>
        <w:lastRenderedPageBreak/>
        <w:t>The other case study illustrates auditors’ overreliance on separation of duties and code reviews. At one financial organization, a developer managed to circumvent the separation of duties controls and place backdoors into ATMs, allowing the developer to put them into maintenance mode and illicitly extract money from them (Kim, et al., 2021, p. 392). Despite auditors and regulators requiring code reviews and separation of duties, they were not enough to prevent this fraud.</w:t>
      </w:r>
    </w:p>
    <w:p w14:paraId="3E4C5347" w14:textId="4DAD15B2" w:rsidR="00791890" w:rsidRDefault="00791890" w:rsidP="003356B5">
      <w:pPr>
        <w:spacing w:line="480" w:lineRule="auto"/>
        <w:ind w:firstLine="720"/>
        <w:rPr>
          <w:rFonts w:ascii="Calibri" w:hAnsi="Calibri" w:cs="Calibri"/>
        </w:rPr>
      </w:pPr>
      <w:r>
        <w:rPr>
          <w:rFonts w:ascii="Calibri" w:hAnsi="Calibri" w:cs="Calibri"/>
        </w:rPr>
        <w:t xml:space="preserve">Fortunately, these case studies also illustrate </w:t>
      </w:r>
      <w:proofErr w:type="gramStart"/>
      <w:r>
        <w:rPr>
          <w:rFonts w:ascii="Calibri" w:hAnsi="Calibri" w:cs="Calibri"/>
        </w:rPr>
        <w:t>the DevOps</w:t>
      </w:r>
      <w:proofErr w:type="gramEnd"/>
      <w:r>
        <w:rPr>
          <w:rFonts w:ascii="Calibri" w:hAnsi="Calibri" w:cs="Calibri"/>
        </w:rPr>
        <w:t xml:space="preserve"> solutions to these problems. In the first, the solution was to utilize telemetry to provide the necessary evidence of compliance. By allowing auditors to access the telemetry system themselves, Shinn was able to give them everything they needed without them having to manually request any data (Kim, et al., 2021, p. 390). Shinn also involved auditors in the control design process, helping developers know what controls and telemetry need to be implemented. “They use an iterative approach, assigning a single control for each sprint to determine what is needed in terms of audit evidence. This has helped ensure that auditors get the information they need when the service is in production, entirely on demand” (Kim, et al., 2021, p. 390). In addition to involving auditors in the design process, the actual regulations can be reviewed to determine what telemetry will need to be collected (Kim et al., 2021, pp. 390-1).</w:t>
      </w:r>
    </w:p>
    <w:p w14:paraId="4997D113" w14:textId="3D52F9F7" w:rsidR="00791890" w:rsidRDefault="00791890" w:rsidP="003356B5">
      <w:pPr>
        <w:spacing w:line="480" w:lineRule="auto"/>
        <w:ind w:firstLine="720"/>
        <w:rPr>
          <w:rFonts w:ascii="Calibri" w:hAnsi="Calibri" w:cs="Calibri"/>
        </w:rPr>
      </w:pPr>
      <w:r>
        <w:rPr>
          <w:rFonts w:ascii="Calibri" w:hAnsi="Calibri" w:cs="Calibri"/>
        </w:rPr>
        <w:t xml:space="preserve">As in the first case study, the solution to the second case study was telemetry. By observing in the telemetry data that ATMs were being shut down for maintenance at unscheduled times, the organization was able to quickly identify the fraud and put an end to it. “We found the fraud even before the scheduled cash audit process, when they reconcile the amount of cash in the ATMs with authorized transactions” (Kim, et al., 2021, p. 392). In this </w:t>
      </w:r>
      <w:r>
        <w:rPr>
          <w:rFonts w:ascii="Calibri" w:hAnsi="Calibri" w:cs="Calibri"/>
        </w:rPr>
        <w:lastRenderedPageBreak/>
        <w:t>organization, telemetry was able to achieve what code reviews and separation of duties could not.</w:t>
      </w:r>
    </w:p>
    <w:p w14:paraId="425DBA6E" w14:textId="4D686015" w:rsidR="002B3D7F" w:rsidRDefault="0039251F" w:rsidP="003356B5">
      <w:pPr>
        <w:spacing w:line="480" w:lineRule="auto"/>
        <w:ind w:firstLine="720"/>
        <w:rPr>
          <w:rFonts w:ascii="Calibri" w:hAnsi="Calibri" w:cs="Calibri"/>
        </w:rPr>
      </w:pPr>
      <w:r>
        <w:rPr>
          <w:rFonts w:ascii="Calibri" w:hAnsi="Calibri" w:cs="Calibri"/>
        </w:rPr>
        <w:t>The key takeaway from these case studies is that the benefits of telemetry extend far beyond merely improving the usability of an application; it can also be used to monitor the security of a system and ensure compliance. By providing auditors with access to telemetry data, they can have sufficient proof of compliance even though their traditional methods may be incompatible with DevOps practices. Similarly, by analyzing telemetry data, fraud can be detected and stopped even when traditional methods are not enough.</w:t>
      </w:r>
    </w:p>
    <w:p w14:paraId="6DEE4307" w14:textId="688E4579" w:rsidR="0039251F" w:rsidRDefault="0039251F" w:rsidP="003356B5">
      <w:pPr>
        <w:spacing w:line="480" w:lineRule="auto"/>
        <w:ind w:firstLine="720"/>
        <w:rPr>
          <w:rFonts w:ascii="Calibri" w:hAnsi="Calibri" w:cs="Calibri"/>
        </w:rPr>
      </w:pPr>
      <w:r>
        <w:rPr>
          <w:rFonts w:ascii="Calibri" w:hAnsi="Calibri" w:cs="Calibri"/>
        </w:rPr>
        <w:t>Auditors often focus too much on strict reporting and traditional methods, making it difficult to implement DevOps without sacrificing compliance. However, as multiple organizations have demonstrated, these two things do not have to be exclusive. The key to implementing DevOps while remaining compliant lies in telemetry. With telemetry, fraud can be detected and compliance can be demonstrated much easier than with traditional methods. This means that, if implemented correctly, DevOps practices can improve not only efficiency and quality but also security and compliance.</w:t>
      </w:r>
    </w:p>
    <w:p w14:paraId="1D7C2D4E" w14:textId="77777777" w:rsidR="000D61BE" w:rsidRDefault="000D61BE" w:rsidP="000D61BE">
      <w:pPr>
        <w:jc w:val="center"/>
        <w:rPr>
          <w:rFonts w:ascii="Calibri" w:hAnsi="Calibri" w:cs="Calibri"/>
          <w:b/>
          <w:bCs/>
        </w:rPr>
      </w:pPr>
    </w:p>
    <w:p w14:paraId="793000B2" w14:textId="0BBC6A77" w:rsidR="000D61BE" w:rsidRDefault="000D61BE" w:rsidP="000D61BE">
      <w:pPr>
        <w:jc w:val="center"/>
        <w:rPr>
          <w:rFonts w:ascii="Calibri" w:hAnsi="Calibri" w:cs="Calibri"/>
          <w:b/>
          <w:bCs/>
        </w:rPr>
      </w:pPr>
      <w:r>
        <w:rPr>
          <w:rFonts w:ascii="Calibri" w:hAnsi="Calibri" w:cs="Calibri"/>
          <w:b/>
          <w:bCs/>
        </w:rPr>
        <w:t>References</w:t>
      </w:r>
    </w:p>
    <w:p w14:paraId="62B5098A" w14:textId="107E6293" w:rsidR="000D61BE" w:rsidRPr="000D61BE" w:rsidRDefault="000D61BE" w:rsidP="000D61BE">
      <w:pPr>
        <w:ind w:left="720" w:hanging="720"/>
        <w:rPr>
          <w:rFonts w:ascii="Calibri" w:hAnsi="Calibri" w:cs="Calibri"/>
        </w:rPr>
      </w:pPr>
      <w:r w:rsidRPr="000D61BE">
        <w:rPr>
          <w:rFonts w:ascii="Calibri" w:hAnsi="Calibri" w:cs="Calibri"/>
        </w:rPr>
        <w:t>Kim, G., Humble, j., Debois, P., &amp; Willis, J. (2021). The DevOps Handbook, Second Edition. Portland, OR: IT Revolution.</w:t>
      </w:r>
    </w:p>
    <w:sectPr w:rsidR="000D61BE" w:rsidRPr="000D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40DF4"/>
    <w:multiLevelType w:val="hybridMultilevel"/>
    <w:tmpl w:val="886AA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15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EF"/>
    <w:rsid w:val="000D61BE"/>
    <w:rsid w:val="002B3D7F"/>
    <w:rsid w:val="003356B5"/>
    <w:rsid w:val="003621EB"/>
    <w:rsid w:val="0039251F"/>
    <w:rsid w:val="00533122"/>
    <w:rsid w:val="005D4144"/>
    <w:rsid w:val="00791890"/>
    <w:rsid w:val="009A4B1F"/>
    <w:rsid w:val="00C51EEF"/>
    <w:rsid w:val="00D812D3"/>
    <w:rsid w:val="00DA639B"/>
    <w:rsid w:val="00E15B7D"/>
    <w:rsid w:val="00E601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D8CA"/>
  <w15:chartTrackingRefBased/>
  <w15:docId w15:val="{911EEFC8-F157-4C72-BCC0-1908875B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EF"/>
    <w:rPr>
      <w:rFonts w:eastAsiaTheme="majorEastAsia" w:cstheme="majorBidi"/>
      <w:color w:val="272727" w:themeColor="text1" w:themeTint="D8"/>
    </w:rPr>
  </w:style>
  <w:style w:type="paragraph" w:styleId="Title">
    <w:name w:val="Title"/>
    <w:basedOn w:val="Normal"/>
    <w:next w:val="Normal"/>
    <w:link w:val="TitleChar"/>
    <w:uiPriority w:val="10"/>
    <w:qFormat/>
    <w:rsid w:val="00C51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EF"/>
    <w:pPr>
      <w:spacing w:before="160"/>
      <w:jc w:val="center"/>
    </w:pPr>
    <w:rPr>
      <w:i/>
      <w:iCs/>
      <w:color w:val="404040" w:themeColor="text1" w:themeTint="BF"/>
    </w:rPr>
  </w:style>
  <w:style w:type="character" w:customStyle="1" w:styleId="QuoteChar">
    <w:name w:val="Quote Char"/>
    <w:basedOn w:val="DefaultParagraphFont"/>
    <w:link w:val="Quote"/>
    <w:uiPriority w:val="29"/>
    <w:rsid w:val="00C51EEF"/>
    <w:rPr>
      <w:i/>
      <w:iCs/>
      <w:color w:val="404040" w:themeColor="text1" w:themeTint="BF"/>
    </w:rPr>
  </w:style>
  <w:style w:type="paragraph" w:styleId="ListParagraph">
    <w:name w:val="List Paragraph"/>
    <w:basedOn w:val="Normal"/>
    <w:uiPriority w:val="34"/>
    <w:qFormat/>
    <w:rsid w:val="00C51EEF"/>
    <w:pPr>
      <w:ind w:left="720"/>
      <w:contextualSpacing/>
    </w:pPr>
  </w:style>
  <w:style w:type="character" w:styleId="IntenseEmphasis">
    <w:name w:val="Intense Emphasis"/>
    <w:basedOn w:val="DefaultParagraphFont"/>
    <w:uiPriority w:val="21"/>
    <w:qFormat/>
    <w:rsid w:val="00C51EEF"/>
    <w:rPr>
      <w:i/>
      <w:iCs/>
      <w:color w:val="0F4761" w:themeColor="accent1" w:themeShade="BF"/>
    </w:rPr>
  </w:style>
  <w:style w:type="paragraph" w:styleId="IntenseQuote">
    <w:name w:val="Intense Quote"/>
    <w:basedOn w:val="Normal"/>
    <w:next w:val="Normal"/>
    <w:link w:val="IntenseQuoteChar"/>
    <w:uiPriority w:val="30"/>
    <w:qFormat/>
    <w:rsid w:val="00C51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EF"/>
    <w:rPr>
      <w:i/>
      <w:iCs/>
      <w:color w:val="0F4761" w:themeColor="accent1" w:themeShade="BF"/>
    </w:rPr>
  </w:style>
  <w:style w:type="character" w:styleId="IntenseReference">
    <w:name w:val="Intense Reference"/>
    <w:basedOn w:val="DefaultParagraphFont"/>
    <w:uiPriority w:val="32"/>
    <w:qFormat/>
    <w:rsid w:val="00C51EEF"/>
    <w:rPr>
      <w:b/>
      <w:bCs/>
      <w:smallCaps/>
      <w:color w:val="0F4761" w:themeColor="accent1" w:themeShade="BF"/>
      <w:spacing w:val="5"/>
    </w:rPr>
  </w:style>
  <w:style w:type="paragraph" w:styleId="Date">
    <w:name w:val="Date"/>
    <w:basedOn w:val="Normal"/>
    <w:next w:val="Normal"/>
    <w:link w:val="DateChar"/>
    <w:uiPriority w:val="99"/>
    <w:semiHidden/>
    <w:unhideWhenUsed/>
    <w:rsid w:val="00E60116"/>
  </w:style>
  <w:style w:type="character" w:customStyle="1" w:styleId="DateChar">
    <w:name w:val="Date Char"/>
    <w:basedOn w:val="DefaultParagraphFont"/>
    <w:link w:val="Date"/>
    <w:uiPriority w:val="99"/>
    <w:semiHidden/>
    <w:rsid w:val="00E601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5</cp:revision>
  <dcterms:created xsi:type="dcterms:W3CDTF">2026-03-04T17:27:00Z</dcterms:created>
  <dcterms:modified xsi:type="dcterms:W3CDTF">2026-03-04T18:37:00Z</dcterms:modified>
</cp:coreProperties>
</file>