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评教信息（AI生成）</w:t>
      </w:r>
    </w:p>
    <w:p>
      <w:pPr>
        <w:pStyle w:val="1"/>
        <w:spacing w:before="380" w:after="140" w:line="288" w:lineRule="auto"/>
        <w:ind w:left="0"/>
        <w:jc w:val="left"/>
        <w:outlineLvl w:val="0"/>
      </w:pPr>
      <w:bookmarkStart w:name="heading_0" w:id="0"/>
      <w:r>
        <w:rPr>
          <w:rFonts w:eastAsia="等线" w:ascii="Arial" w:cs="Arial" w:hAnsi="Arial"/>
          <w:b w:val="true"/>
          <w:sz w:val="36"/>
        </w:rPr>
        <w:t>基本规则</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 w:id="1"/>
      <w:r>
        <w:rPr>
          <w:rFonts w:eastAsia="等线" w:ascii="Arial" w:cs="Arial" w:hAnsi="Arial"/>
          <w:b w:val="true"/>
          <w:sz w:val="32"/>
        </w:rPr>
        <w:t>补充：等级划分标准（管理端常用）</w:t>
      </w:r>
      <w:bookmarkEnd w:id="1"/>
    </w:p>
    <w:p>
      <w:pPr>
        <w:spacing w:before="120" w:after="120" w:line="288" w:lineRule="auto"/>
        <w:ind w:left="0"/>
        <w:jc w:val="left"/>
      </w:pPr>
      <w:r>
        <w:rPr>
          <w:rFonts w:eastAsia="等线" w:ascii="Arial" w:cs="Arial" w:hAnsi="Arial"/>
          <w:sz w:val="22"/>
        </w:rPr>
        <w:t>管理端一般会将总分转化为等级，方便统计和评优：</w:t>
      </w:r>
    </w:p>
    <w:p>
      <w:pPr>
        <w:numPr>
          <w:numId w:val="1"/>
        </w:numPr>
        <w:spacing w:before="120" w:after="120" w:line="288" w:lineRule="auto"/>
        <w:ind w:left="0"/>
        <w:jc w:val="left"/>
      </w:pPr>
      <w:r>
        <w:rPr>
          <w:rFonts w:eastAsia="等线" w:ascii="Arial" w:cs="Arial" w:hAnsi="Arial"/>
          <w:sz w:val="22"/>
        </w:rPr>
        <w:t>优秀：90-100 分</w:t>
      </w:r>
    </w:p>
    <w:p>
      <w:pPr>
        <w:numPr>
          <w:numId w:val="2"/>
        </w:numPr>
        <w:spacing w:before="120" w:after="120" w:line="288" w:lineRule="auto"/>
        <w:ind w:left="0"/>
        <w:jc w:val="left"/>
      </w:pPr>
      <w:r>
        <w:rPr>
          <w:rFonts w:eastAsia="等线" w:ascii="Arial" w:cs="Arial" w:hAnsi="Arial"/>
          <w:sz w:val="22"/>
        </w:rPr>
        <w:t>良好：80-89 分</w:t>
      </w:r>
    </w:p>
    <w:p>
      <w:pPr>
        <w:numPr>
          <w:numId w:val="3"/>
        </w:numPr>
        <w:spacing w:before="120" w:after="120" w:line="288" w:lineRule="auto"/>
        <w:ind w:left="0"/>
        <w:jc w:val="left"/>
      </w:pPr>
      <w:r>
        <w:rPr>
          <w:rFonts w:eastAsia="等线" w:ascii="Arial" w:cs="Arial" w:hAnsi="Arial"/>
          <w:sz w:val="22"/>
        </w:rPr>
        <w:t>合格：60-79 分</w:t>
      </w:r>
    </w:p>
    <w:p>
      <w:pPr>
        <w:numPr>
          <w:numId w:val="4"/>
        </w:numPr>
        <w:spacing w:before="120" w:after="120" w:line="288" w:lineRule="auto"/>
        <w:ind w:left="0"/>
        <w:jc w:val="left"/>
      </w:pPr>
      <w:r>
        <w:rPr>
          <w:rFonts w:eastAsia="等线" w:ascii="Arial" w:cs="Arial" w:hAnsi="Arial"/>
          <w:sz w:val="22"/>
        </w:rPr>
        <w:t>不合格：60 分以下</w:t>
      </w:r>
    </w:p>
    <w:p>
      <w:pPr>
        <w:pStyle w:val="1"/>
        <w:spacing w:before="380" w:after="140" w:line="288" w:lineRule="auto"/>
        <w:ind w:left="0"/>
        <w:jc w:val="left"/>
        <w:outlineLvl w:val="0"/>
      </w:pPr>
      <w:bookmarkStart w:name="heading_2" w:id="2"/>
      <w:r>
        <w:rPr>
          <w:rFonts w:eastAsia="等线" w:ascii="Arial" w:cs="Arial" w:hAnsi="Arial"/>
          <w:b w:val="true"/>
          <w:sz w:val="36"/>
        </w:rPr>
        <w:t>针对「文件类型」的专项评分标准（教师端常见上传文件）</w:t>
      </w:r>
      <w:bookmarkEnd w:id="2"/>
    </w:p>
    <w:p>
      <w:pPr>
        <w:spacing w:before="120" w:after="120" w:line="288" w:lineRule="auto"/>
        <w:ind w:left="0"/>
        <w:jc w:val="left"/>
      </w:pPr>
      <w:r>
        <w:rPr>
          <w:rFonts w:eastAsia="等线" w:ascii="Arial" w:cs="Arial" w:hAnsi="Arial"/>
          <w:sz w:val="22"/>
        </w:rPr>
        <w:t>管理端会根据教师上传的</w:t>
      </w:r>
      <w:r>
        <w:rPr>
          <w:rFonts w:eastAsia="等线" w:ascii="Arial" w:cs="Arial" w:hAnsi="Arial"/>
          <w:b w:val="true"/>
          <w:sz w:val="22"/>
        </w:rPr>
        <w:t>不同文件类型</w:t>
      </w:r>
      <w:r>
        <w:rPr>
          <w:rFonts w:eastAsia="等线" w:ascii="Arial" w:cs="Arial" w:hAnsi="Arial"/>
          <w:sz w:val="22"/>
        </w:rPr>
        <w:t>制定差异化细则，避免 “一刀切”，这是自动评分的关键依据：</w:t>
      </w:r>
    </w:p>
    <w:p>
      <w:pPr>
        <w:numPr>
          <w:numId w:val="5"/>
        </w:numPr>
        <w:spacing w:before="120" w:after="120" w:line="288" w:lineRule="auto"/>
        <w:ind w:left="0"/>
        <w:jc w:val="left"/>
      </w:pPr>
      <w:r>
        <w:rPr>
          <w:rFonts w:eastAsia="等线" w:ascii="Arial" w:cs="Arial" w:hAnsi="Arial"/>
          <w:b w:val="true"/>
          <w:sz w:val="22"/>
        </w:rPr>
        <w:t>教案 / 教学设计文件</w:t>
      </w:r>
    </w:p>
    <w:p>
      <w:pPr>
        <w:numPr>
          <w:numId w:val="6"/>
        </w:numPr>
        <w:spacing w:before="120" w:after="120" w:line="288" w:lineRule="auto"/>
        <w:ind w:left="453"/>
        <w:jc w:val="left"/>
      </w:pPr>
      <w:r>
        <w:rPr>
          <w:rFonts w:eastAsia="等线" w:ascii="Arial" w:cs="Arial" w:hAnsi="Arial"/>
          <w:sz w:val="22"/>
        </w:rPr>
        <w:t>评分核心：教学目标合理性、重难点把握、教学流程逻辑性、作业设计适配性；</w:t>
      </w:r>
    </w:p>
    <w:p>
      <w:pPr>
        <w:numPr>
          <w:numId w:val="7"/>
        </w:numPr>
        <w:spacing w:before="120" w:after="120" w:line="288" w:lineRule="auto"/>
        <w:ind w:left="453"/>
        <w:jc w:val="left"/>
      </w:pPr>
      <w:r>
        <w:rPr>
          <w:rFonts w:eastAsia="等线" w:ascii="Arial" w:cs="Arial" w:hAnsi="Arial"/>
          <w:sz w:val="22"/>
        </w:rPr>
        <w:t>否决项：无教学目标、重难点错误、抄袭他人教案。</w:t>
      </w:r>
    </w:p>
    <w:p>
      <w:pPr>
        <w:numPr>
          <w:numId w:val="8"/>
        </w:numPr>
        <w:spacing w:before="120" w:after="120" w:line="288" w:lineRule="auto"/>
        <w:ind w:left="0"/>
        <w:jc w:val="left"/>
      </w:pPr>
      <w:r>
        <w:rPr>
          <w:rFonts w:eastAsia="等线" w:ascii="Arial" w:cs="Arial" w:hAnsi="Arial"/>
          <w:b w:val="true"/>
          <w:sz w:val="22"/>
        </w:rPr>
        <w:t>教学反思 / 总结文件</w:t>
      </w:r>
    </w:p>
    <w:p>
      <w:pPr>
        <w:numPr>
          <w:numId w:val="9"/>
        </w:numPr>
        <w:spacing w:before="120" w:after="120" w:line="288" w:lineRule="auto"/>
        <w:ind w:left="453"/>
        <w:jc w:val="left"/>
      </w:pPr>
      <w:r>
        <w:rPr>
          <w:rFonts w:eastAsia="等线" w:ascii="Arial" w:cs="Arial" w:hAnsi="Arial"/>
          <w:sz w:val="22"/>
        </w:rPr>
        <w:t>评分核心：反思真实性、问题针对性、改进措施可行性；</w:t>
      </w:r>
    </w:p>
    <w:p>
      <w:pPr>
        <w:numPr>
          <w:numId w:val="10"/>
        </w:numPr>
        <w:spacing w:before="120" w:after="120" w:line="288" w:lineRule="auto"/>
        <w:ind w:left="453"/>
        <w:jc w:val="left"/>
      </w:pPr>
      <w:r>
        <w:rPr>
          <w:rFonts w:eastAsia="等线" w:ascii="Arial" w:cs="Arial" w:hAnsi="Arial"/>
          <w:sz w:val="22"/>
        </w:rPr>
        <w:t>否决项：反思内容空洞、无实质教学问题分析。</w:t>
      </w:r>
    </w:p>
    <w:p>
      <w:pPr>
        <w:numPr>
          <w:numId w:val="11"/>
        </w:numPr>
        <w:spacing w:before="120" w:after="120" w:line="288" w:lineRule="auto"/>
        <w:ind w:left="0"/>
        <w:jc w:val="left"/>
      </w:pPr>
      <w:r>
        <w:rPr>
          <w:rFonts w:eastAsia="等线" w:ascii="Arial" w:cs="Arial" w:hAnsi="Arial"/>
          <w:b w:val="true"/>
          <w:sz w:val="22"/>
        </w:rPr>
        <w:t>教研 / 听课记录文件</w:t>
      </w:r>
    </w:p>
    <w:p>
      <w:pPr>
        <w:numPr>
          <w:numId w:val="12"/>
        </w:numPr>
        <w:spacing w:before="120" w:after="120" w:line="288" w:lineRule="auto"/>
        <w:ind w:left="453"/>
        <w:jc w:val="left"/>
      </w:pPr>
      <w:r>
        <w:rPr>
          <w:rFonts w:eastAsia="等线" w:ascii="Arial" w:cs="Arial" w:hAnsi="Arial"/>
          <w:sz w:val="22"/>
        </w:rPr>
        <w:t>评分核心：记录完整性、评课意见专业性、教研成果转化；</w:t>
      </w:r>
    </w:p>
    <w:p>
      <w:pPr>
        <w:numPr>
          <w:numId w:val="13"/>
        </w:numPr>
        <w:spacing w:before="120" w:after="120" w:line="288" w:lineRule="auto"/>
        <w:ind w:left="453"/>
        <w:jc w:val="left"/>
      </w:pPr>
      <w:r>
        <w:rPr>
          <w:rFonts w:eastAsia="等线" w:ascii="Arial" w:cs="Arial" w:hAnsi="Arial"/>
          <w:sz w:val="22"/>
        </w:rPr>
        <w:t>否决项：无听课 / 教研时间、无评课内容、伪造记录。</w:t>
      </w:r>
    </w:p>
    <w:p>
      <w:pPr>
        <w:numPr>
          <w:numId w:val="14"/>
        </w:numPr>
        <w:spacing w:before="120" w:after="120" w:line="288" w:lineRule="auto"/>
        <w:ind w:left="0"/>
        <w:jc w:val="left"/>
      </w:pPr>
      <w:r>
        <w:rPr>
          <w:rFonts w:eastAsia="等线" w:ascii="Arial" w:cs="Arial" w:hAnsi="Arial"/>
          <w:b w:val="true"/>
          <w:sz w:val="22"/>
        </w:rPr>
        <w:t>成绩 / 学情分析文件</w:t>
      </w:r>
    </w:p>
    <w:p>
      <w:pPr>
        <w:numPr>
          <w:numId w:val="15"/>
        </w:numPr>
        <w:spacing w:before="120" w:after="120" w:line="288" w:lineRule="auto"/>
        <w:ind w:left="453"/>
        <w:jc w:val="left"/>
      </w:pPr>
      <w:r>
        <w:rPr>
          <w:rFonts w:eastAsia="等线" w:ascii="Arial" w:cs="Arial" w:hAnsi="Arial"/>
          <w:sz w:val="22"/>
        </w:rPr>
        <w:t>评分核心：数据真实性、分析维度全面性、帮扶措施针对性；</w:t>
      </w:r>
    </w:p>
    <w:p>
      <w:pPr>
        <w:numPr>
          <w:numId w:val="16"/>
        </w:numPr>
        <w:spacing w:before="120" w:after="120" w:line="288" w:lineRule="auto"/>
        <w:ind w:left="453"/>
        <w:jc w:val="left"/>
      </w:pPr>
      <w:r>
        <w:rPr>
          <w:rFonts w:eastAsia="等线" w:ascii="Arial" w:cs="Arial" w:hAnsi="Arial"/>
          <w:sz w:val="22"/>
        </w:rPr>
        <w:t>否决项：成绩数据造假、无学情问题分析。</w:t>
      </w:r>
    </w:p>
    <w:p>
      <w:pPr>
        <w:numPr>
          <w:numId w:val="17"/>
        </w:numPr>
        <w:spacing w:before="120" w:after="120" w:line="288" w:lineRule="auto"/>
        <w:ind w:left="0"/>
        <w:jc w:val="left"/>
      </w:pPr>
      <w:r>
        <w:rPr>
          <w:rFonts w:eastAsia="等线" w:ascii="Arial" w:cs="Arial" w:hAnsi="Arial"/>
          <w:b w:val="true"/>
          <w:sz w:val="22"/>
        </w:rPr>
        <w:t>课件 / 数字化资源文件</w:t>
      </w:r>
    </w:p>
    <w:p>
      <w:pPr>
        <w:numPr>
          <w:numId w:val="18"/>
        </w:numPr>
        <w:spacing w:before="120" w:after="120" w:line="288" w:lineRule="auto"/>
        <w:ind w:left="453"/>
        <w:jc w:val="left"/>
      </w:pPr>
      <w:r>
        <w:rPr>
          <w:rFonts w:eastAsia="等线" w:ascii="Arial" w:cs="Arial" w:hAnsi="Arial"/>
          <w:sz w:val="22"/>
        </w:rPr>
        <w:t>评分核心：资源适配性、内容准确性、教学辅助效果；</w:t>
      </w:r>
    </w:p>
    <w:p>
      <w:pPr>
        <w:numPr>
          <w:numId w:val="19"/>
        </w:numPr>
        <w:spacing w:before="120" w:after="120" w:line="288" w:lineRule="auto"/>
        <w:ind w:left="453"/>
        <w:jc w:val="left"/>
      </w:pPr>
      <w:r>
        <w:rPr>
          <w:rFonts w:eastAsia="等线" w:ascii="Arial" w:cs="Arial" w:hAnsi="Arial"/>
          <w:sz w:val="22"/>
        </w:rPr>
        <w:t>否决项：资源内容错误、与教学内容无关。</w:t>
      </w:r>
    </w:p>
    <w:p>
      <w:pPr>
        <w:pStyle w:val="1"/>
        <w:spacing w:before="380" w:after="140" w:line="288" w:lineRule="auto"/>
        <w:ind w:left="0"/>
        <w:jc w:val="left"/>
        <w:outlineLvl w:val="0"/>
      </w:pPr>
      <w:bookmarkStart w:name="heading_3" w:id="3"/>
      <w:r>
        <w:rPr>
          <w:rFonts w:eastAsia="等线" w:ascii="Arial" w:cs="Arial" w:hAnsi="Arial"/>
          <w:b w:val="true"/>
          <w:sz w:val="36"/>
        </w:rPr>
        <w:t>管理端制定评分标准的附加规则（必含项）</w:t>
      </w:r>
      <w:bookmarkEnd w:id="3"/>
    </w:p>
    <w:p>
      <w:pPr>
        <w:numPr>
          <w:numId w:val="20"/>
        </w:numPr>
        <w:spacing w:before="120" w:after="120" w:line="288" w:lineRule="auto"/>
        <w:ind w:left="0"/>
        <w:jc w:val="left"/>
      </w:pPr>
      <w:r>
        <w:rPr>
          <w:rFonts w:eastAsia="等线" w:ascii="Arial" w:cs="Arial" w:hAnsi="Arial"/>
          <w:b w:val="true"/>
          <w:sz w:val="22"/>
        </w:rPr>
        <w:t>一票否决项</w:t>
      </w:r>
      <w:r>
        <w:rPr>
          <w:rFonts w:eastAsia="等线" w:ascii="Arial" w:cs="Arial" w:hAnsi="Arial"/>
          <w:sz w:val="22"/>
        </w:rPr>
        <w:t>出现以下情况，直接判定为不合格，不计分：</w:t>
      </w:r>
    </w:p>
    <w:p>
      <w:pPr>
        <w:numPr>
          <w:numId w:val="21"/>
        </w:numPr>
        <w:spacing w:before="120" w:after="120" w:line="288" w:lineRule="auto"/>
        <w:ind w:left="453"/>
        <w:jc w:val="left"/>
      </w:pPr>
      <w:r>
        <w:rPr>
          <w:rFonts w:eastAsia="等线" w:ascii="Arial" w:cs="Arial" w:hAnsi="Arial"/>
          <w:sz w:val="22"/>
        </w:rPr>
        <w:t>上传虚假教学材料、伪造签字 / 盖章；</w:t>
      </w:r>
    </w:p>
    <w:p>
      <w:pPr>
        <w:numPr>
          <w:numId w:val="22"/>
        </w:numPr>
        <w:spacing w:before="120" w:after="120" w:line="288" w:lineRule="auto"/>
        <w:ind w:left="453"/>
        <w:jc w:val="left"/>
      </w:pPr>
      <w:r>
        <w:rPr>
          <w:rFonts w:eastAsia="等线" w:ascii="Arial" w:cs="Arial" w:hAnsi="Arial"/>
          <w:sz w:val="22"/>
        </w:rPr>
        <w:t>教学文件包含违规、违法、师德失范内容；</w:t>
      </w:r>
    </w:p>
    <w:p>
      <w:pPr>
        <w:numPr>
          <w:numId w:val="23"/>
        </w:numPr>
        <w:spacing w:before="120" w:after="120" w:line="288" w:lineRule="auto"/>
        <w:ind w:left="453"/>
        <w:jc w:val="left"/>
      </w:pPr>
      <w:r>
        <w:rPr>
          <w:rFonts w:eastAsia="等线" w:ascii="Arial" w:cs="Arial" w:hAnsi="Arial"/>
          <w:sz w:val="22"/>
        </w:rPr>
        <w:t>无正当理由未提交核心考评文件（教案、进度表等）。</w:t>
      </w:r>
    </w:p>
    <w:p>
      <w:pPr>
        <w:numPr>
          <w:numId w:val="24"/>
        </w:numPr>
        <w:spacing w:before="120" w:after="120" w:line="288" w:lineRule="auto"/>
        <w:ind w:left="0"/>
        <w:jc w:val="left"/>
      </w:pPr>
      <w:r>
        <w:rPr>
          <w:rFonts w:eastAsia="等线" w:ascii="Arial" w:cs="Arial" w:hAnsi="Arial"/>
          <w:b w:val="true"/>
          <w:sz w:val="22"/>
        </w:rPr>
        <w:t>加分项（可选，总分不超过 10 分）</w:t>
      </w:r>
      <w:r>
        <w:rPr>
          <w:rFonts w:eastAsia="等线" w:ascii="Arial" w:cs="Arial" w:hAnsi="Arial"/>
          <w:sz w:val="22"/>
        </w:rPr>
        <w:t>管理端可设置额外加分，激励教师提升质量：</w:t>
      </w:r>
    </w:p>
    <w:p>
      <w:pPr>
        <w:numPr>
          <w:numId w:val="25"/>
        </w:numPr>
        <w:spacing w:before="120" w:after="120" w:line="288" w:lineRule="auto"/>
        <w:ind w:left="453"/>
        <w:jc w:val="left"/>
      </w:pPr>
      <w:r>
        <w:rPr>
          <w:rFonts w:eastAsia="等线" w:ascii="Arial" w:cs="Arial" w:hAnsi="Arial"/>
          <w:sz w:val="22"/>
        </w:rPr>
        <w:t>获校级及以上教学奖项，加 3-5 分；</w:t>
      </w:r>
    </w:p>
    <w:p>
      <w:pPr>
        <w:numPr>
          <w:numId w:val="26"/>
        </w:numPr>
        <w:spacing w:before="120" w:after="120" w:line="288" w:lineRule="auto"/>
        <w:ind w:left="453"/>
        <w:jc w:val="left"/>
      </w:pPr>
      <w:r>
        <w:rPr>
          <w:rFonts w:eastAsia="等线" w:ascii="Arial" w:cs="Arial" w:hAnsi="Arial"/>
          <w:sz w:val="22"/>
        </w:rPr>
        <w:t>发表教学论文 / 立项课题，加 2-4 分；</w:t>
      </w:r>
    </w:p>
    <w:p>
      <w:pPr>
        <w:numPr>
          <w:numId w:val="27"/>
        </w:numPr>
        <w:spacing w:before="120" w:after="120" w:line="288" w:lineRule="auto"/>
        <w:ind w:left="453"/>
        <w:jc w:val="left"/>
      </w:pPr>
      <w:r>
        <w:rPr>
          <w:rFonts w:eastAsia="等线" w:ascii="Arial" w:cs="Arial" w:hAnsi="Arial"/>
          <w:sz w:val="22"/>
        </w:rPr>
        <w:t>学生竞赛获市级及以上奖项，加 2-3 分。</w:t>
      </w:r>
    </w:p>
    <w:p>
      <w:pPr>
        <w:numPr>
          <w:numId w:val="28"/>
        </w:numPr>
        <w:spacing w:before="120" w:after="120" w:line="288" w:lineRule="auto"/>
        <w:ind w:left="0"/>
        <w:jc w:val="left"/>
      </w:pPr>
      <w:r>
        <w:rPr>
          <w:rFonts w:eastAsia="等线" w:ascii="Arial" w:cs="Arial" w:hAnsi="Arial"/>
          <w:b w:val="true"/>
          <w:sz w:val="22"/>
        </w:rPr>
        <w:t>复核规则</w:t>
      </w:r>
    </w:p>
    <w:p>
      <w:pPr>
        <w:numPr>
          <w:numId w:val="29"/>
        </w:numPr>
        <w:spacing w:before="120" w:after="120" w:line="288" w:lineRule="auto"/>
        <w:ind w:left="453"/>
        <w:jc w:val="left"/>
      </w:pPr>
      <w:r>
        <w:rPr>
          <w:rFonts w:eastAsia="等线" w:ascii="Arial" w:cs="Arial" w:hAnsi="Arial"/>
          <w:sz w:val="22"/>
        </w:rPr>
        <w:t>自动评分结果与人工抽查复核的一致性需≥95%；</w:t>
      </w:r>
    </w:p>
    <w:p>
      <w:pPr>
        <w:numPr>
          <w:numId w:val="30"/>
        </w:numPr>
        <w:spacing w:before="120" w:after="120" w:line="288" w:lineRule="auto"/>
        <w:ind w:left="453"/>
        <w:jc w:val="left"/>
      </w:pPr>
      <w:r>
        <w:rPr>
          <w:rFonts w:eastAsia="等线" w:ascii="Arial" w:cs="Arial" w:hAnsi="Arial"/>
          <w:sz w:val="22"/>
        </w:rPr>
        <w:t>教师对评分有异议，可提交复核申请，管理端 3 个工作日内完成复核并调整。</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秉泽 6999"/>
          <v:fill opacity="0.3"/>
        </v:shape>
      </w:pict>
    </w:r>
  </w:p>
</w:hdr>
</file>

<file path=word/numbering.xml><?xml version="1.0" encoding="utf-8"?>
<w:numbering xmlns:w="http://schemas.openxmlformats.org/wordprocessingml/2006/main">
  <w:abstractNum w:abstractNumId="250893">
    <w:lvl>
      <w:numFmt w:val="bullet"/>
      <w:suff w:val="tab"/>
      <w:lvlText w:val="•"/>
      <w:rPr>
        <w:color w:val="3370ff"/>
      </w:rPr>
    </w:lvl>
  </w:abstractNum>
  <w:abstractNum w:abstractNumId="250894">
    <w:lvl>
      <w:numFmt w:val="bullet"/>
      <w:suff w:val="tab"/>
      <w:lvlText w:val="•"/>
      <w:rPr>
        <w:color w:val="3370ff"/>
      </w:rPr>
    </w:lvl>
  </w:abstractNum>
  <w:abstractNum w:abstractNumId="250895">
    <w:lvl>
      <w:numFmt w:val="bullet"/>
      <w:suff w:val="tab"/>
      <w:lvlText w:val="•"/>
      <w:rPr>
        <w:color w:val="3370ff"/>
      </w:rPr>
    </w:lvl>
  </w:abstractNum>
  <w:abstractNum w:abstractNumId="250896">
    <w:lvl>
      <w:numFmt w:val="bullet"/>
      <w:suff w:val="tab"/>
      <w:lvlText w:val="•"/>
      <w:rPr>
        <w:color w:val="3370ff"/>
      </w:rPr>
    </w:lvl>
  </w:abstractNum>
  <w:abstractNum w:abstractNumId="250897">
    <w:lvl>
      <w:start w:val="1"/>
      <w:numFmt w:val="decimal"/>
      <w:suff w:val="tab"/>
      <w:lvlText w:val="%1."/>
      <w:rPr>
        <w:color w:val="3370ff"/>
      </w:rPr>
    </w:lvl>
  </w:abstractNum>
  <w:abstractNum w:abstractNumId="250898">
    <w:lvl>
      <w:numFmt w:val="bullet"/>
      <w:suff w:val="tab"/>
      <w:lvlText w:val="￮"/>
      <w:rPr>
        <w:color w:val="3370ff"/>
      </w:rPr>
    </w:lvl>
  </w:abstractNum>
  <w:abstractNum w:abstractNumId="250899">
    <w:lvl>
      <w:numFmt w:val="bullet"/>
      <w:suff w:val="tab"/>
      <w:lvlText w:val="￮"/>
      <w:rPr>
        <w:color w:val="3370ff"/>
      </w:rPr>
    </w:lvl>
  </w:abstractNum>
  <w:abstractNum w:abstractNumId="250900">
    <w:lvl>
      <w:start w:val="2"/>
      <w:numFmt w:val="decimal"/>
      <w:suff w:val="tab"/>
      <w:lvlText w:val="%1."/>
      <w:rPr>
        <w:color w:val="3370ff"/>
      </w:rPr>
    </w:lvl>
  </w:abstractNum>
  <w:abstractNum w:abstractNumId="250901">
    <w:lvl>
      <w:numFmt w:val="bullet"/>
      <w:suff w:val="tab"/>
      <w:lvlText w:val="￮"/>
      <w:rPr>
        <w:color w:val="3370ff"/>
      </w:rPr>
    </w:lvl>
  </w:abstractNum>
  <w:abstractNum w:abstractNumId="250902">
    <w:lvl>
      <w:numFmt w:val="bullet"/>
      <w:suff w:val="tab"/>
      <w:lvlText w:val="￮"/>
      <w:rPr>
        <w:color w:val="3370ff"/>
      </w:rPr>
    </w:lvl>
  </w:abstractNum>
  <w:abstractNum w:abstractNumId="250903">
    <w:lvl>
      <w:start w:val="3"/>
      <w:numFmt w:val="decimal"/>
      <w:suff w:val="tab"/>
      <w:lvlText w:val="%1."/>
      <w:rPr>
        <w:color w:val="3370ff"/>
      </w:rPr>
    </w:lvl>
  </w:abstractNum>
  <w:abstractNum w:abstractNumId="250904">
    <w:lvl>
      <w:numFmt w:val="bullet"/>
      <w:suff w:val="tab"/>
      <w:lvlText w:val="￮"/>
      <w:rPr>
        <w:color w:val="3370ff"/>
      </w:rPr>
    </w:lvl>
  </w:abstractNum>
  <w:abstractNum w:abstractNumId="250905">
    <w:lvl>
      <w:numFmt w:val="bullet"/>
      <w:suff w:val="tab"/>
      <w:lvlText w:val="￮"/>
      <w:rPr>
        <w:color w:val="3370ff"/>
      </w:rPr>
    </w:lvl>
  </w:abstractNum>
  <w:abstractNum w:abstractNumId="250906">
    <w:lvl>
      <w:start w:val="4"/>
      <w:numFmt w:val="decimal"/>
      <w:suff w:val="tab"/>
      <w:lvlText w:val="%1."/>
      <w:rPr>
        <w:color w:val="3370ff"/>
      </w:rPr>
    </w:lvl>
  </w:abstractNum>
  <w:abstractNum w:abstractNumId="250907">
    <w:lvl>
      <w:numFmt w:val="bullet"/>
      <w:suff w:val="tab"/>
      <w:lvlText w:val="￮"/>
      <w:rPr>
        <w:color w:val="3370ff"/>
      </w:rPr>
    </w:lvl>
  </w:abstractNum>
  <w:abstractNum w:abstractNumId="250908">
    <w:lvl>
      <w:numFmt w:val="bullet"/>
      <w:suff w:val="tab"/>
      <w:lvlText w:val="￮"/>
      <w:rPr>
        <w:color w:val="3370ff"/>
      </w:rPr>
    </w:lvl>
  </w:abstractNum>
  <w:abstractNum w:abstractNumId="250909">
    <w:lvl>
      <w:start w:val="5"/>
      <w:numFmt w:val="decimal"/>
      <w:suff w:val="tab"/>
      <w:lvlText w:val="%1."/>
      <w:rPr>
        <w:color w:val="3370ff"/>
      </w:rPr>
    </w:lvl>
  </w:abstractNum>
  <w:abstractNum w:abstractNumId="250910">
    <w:lvl>
      <w:numFmt w:val="bullet"/>
      <w:suff w:val="tab"/>
      <w:lvlText w:val="￮"/>
      <w:rPr>
        <w:color w:val="3370ff"/>
      </w:rPr>
    </w:lvl>
  </w:abstractNum>
  <w:abstractNum w:abstractNumId="250911">
    <w:lvl>
      <w:numFmt w:val="bullet"/>
      <w:suff w:val="tab"/>
      <w:lvlText w:val="￮"/>
      <w:rPr>
        <w:color w:val="3370ff"/>
      </w:rPr>
    </w:lvl>
  </w:abstractNum>
  <w:abstractNum w:abstractNumId="250912">
    <w:lvl>
      <w:start w:val="1"/>
      <w:numFmt w:val="decimal"/>
      <w:suff w:val="tab"/>
      <w:lvlText w:val="%1."/>
      <w:rPr>
        <w:color w:val="3370ff"/>
      </w:rPr>
    </w:lvl>
  </w:abstractNum>
  <w:abstractNum w:abstractNumId="250913">
    <w:lvl>
      <w:numFmt w:val="bullet"/>
      <w:suff w:val="tab"/>
      <w:lvlText w:val="￮"/>
      <w:rPr>
        <w:color w:val="3370ff"/>
      </w:rPr>
    </w:lvl>
  </w:abstractNum>
  <w:abstractNum w:abstractNumId="250914">
    <w:lvl>
      <w:numFmt w:val="bullet"/>
      <w:suff w:val="tab"/>
      <w:lvlText w:val="￮"/>
      <w:rPr>
        <w:color w:val="3370ff"/>
      </w:rPr>
    </w:lvl>
  </w:abstractNum>
  <w:abstractNum w:abstractNumId="250915">
    <w:lvl>
      <w:numFmt w:val="bullet"/>
      <w:suff w:val="tab"/>
      <w:lvlText w:val="￮"/>
      <w:rPr>
        <w:color w:val="3370ff"/>
      </w:rPr>
    </w:lvl>
  </w:abstractNum>
  <w:abstractNum w:abstractNumId="250916">
    <w:lvl>
      <w:start w:val="2"/>
      <w:numFmt w:val="decimal"/>
      <w:suff w:val="tab"/>
      <w:lvlText w:val="%1."/>
      <w:rPr>
        <w:color w:val="3370ff"/>
      </w:rPr>
    </w:lvl>
  </w:abstractNum>
  <w:abstractNum w:abstractNumId="250917">
    <w:lvl>
      <w:numFmt w:val="bullet"/>
      <w:suff w:val="tab"/>
      <w:lvlText w:val="￮"/>
      <w:rPr>
        <w:color w:val="3370ff"/>
      </w:rPr>
    </w:lvl>
  </w:abstractNum>
  <w:abstractNum w:abstractNumId="250918">
    <w:lvl>
      <w:numFmt w:val="bullet"/>
      <w:suff w:val="tab"/>
      <w:lvlText w:val="￮"/>
      <w:rPr>
        <w:color w:val="3370ff"/>
      </w:rPr>
    </w:lvl>
  </w:abstractNum>
  <w:abstractNum w:abstractNumId="250919">
    <w:lvl>
      <w:numFmt w:val="bullet"/>
      <w:suff w:val="tab"/>
      <w:lvlText w:val="￮"/>
      <w:rPr>
        <w:color w:val="3370ff"/>
      </w:rPr>
    </w:lvl>
  </w:abstractNum>
  <w:abstractNum w:abstractNumId="250920">
    <w:lvl>
      <w:start w:val="3"/>
      <w:numFmt w:val="decimal"/>
      <w:suff w:val="tab"/>
      <w:lvlText w:val="%1."/>
      <w:rPr>
        <w:color w:val="3370ff"/>
      </w:rPr>
    </w:lvl>
  </w:abstractNum>
  <w:abstractNum w:abstractNumId="250921">
    <w:lvl>
      <w:numFmt w:val="bullet"/>
      <w:suff w:val="tab"/>
      <w:lvlText w:val="￮"/>
      <w:rPr>
        <w:color w:val="3370ff"/>
      </w:rPr>
    </w:lvl>
  </w:abstractNum>
  <w:abstractNum w:abstractNumId="250922">
    <w:lvl>
      <w:numFmt w:val="bullet"/>
      <w:suff w:val="tab"/>
      <w:lvlText w:val="￮"/>
      <w:rPr>
        <w:color w:val="3370ff"/>
      </w:rPr>
    </w:lvl>
  </w:abstractNum>
  <w:num w:numId="1">
    <w:abstractNumId w:val="250893"/>
  </w:num>
  <w:num w:numId="2">
    <w:abstractNumId w:val="250894"/>
  </w:num>
  <w:num w:numId="3">
    <w:abstractNumId w:val="250895"/>
  </w:num>
  <w:num w:numId="4">
    <w:abstractNumId w:val="250896"/>
  </w:num>
  <w:num w:numId="5">
    <w:abstractNumId w:val="250897"/>
  </w:num>
  <w:num w:numId="6">
    <w:abstractNumId w:val="250898"/>
  </w:num>
  <w:num w:numId="7">
    <w:abstractNumId w:val="250899"/>
  </w:num>
  <w:num w:numId="8">
    <w:abstractNumId w:val="250900"/>
  </w:num>
  <w:num w:numId="9">
    <w:abstractNumId w:val="250901"/>
  </w:num>
  <w:num w:numId="10">
    <w:abstractNumId w:val="250902"/>
  </w:num>
  <w:num w:numId="11">
    <w:abstractNumId w:val="250903"/>
  </w:num>
  <w:num w:numId="12">
    <w:abstractNumId w:val="250904"/>
  </w:num>
  <w:num w:numId="13">
    <w:abstractNumId w:val="250905"/>
  </w:num>
  <w:num w:numId="14">
    <w:abstractNumId w:val="250906"/>
  </w:num>
  <w:num w:numId="15">
    <w:abstractNumId w:val="250907"/>
  </w:num>
  <w:num w:numId="16">
    <w:abstractNumId w:val="250908"/>
  </w:num>
  <w:num w:numId="17">
    <w:abstractNumId w:val="250909"/>
  </w:num>
  <w:num w:numId="18">
    <w:abstractNumId w:val="250910"/>
  </w:num>
  <w:num w:numId="19">
    <w:abstractNumId w:val="250911"/>
  </w:num>
  <w:num w:numId="20">
    <w:abstractNumId w:val="250912"/>
  </w:num>
  <w:num w:numId="21">
    <w:abstractNumId w:val="250913"/>
  </w:num>
  <w:num w:numId="22">
    <w:abstractNumId w:val="250914"/>
  </w:num>
  <w:num w:numId="23">
    <w:abstractNumId w:val="250915"/>
  </w:num>
  <w:num w:numId="24">
    <w:abstractNumId w:val="250916"/>
  </w:num>
  <w:num w:numId="25">
    <w:abstractNumId w:val="250917"/>
  </w:num>
  <w:num w:numId="26">
    <w:abstractNumId w:val="250918"/>
  </w:num>
  <w:num w:numId="27">
    <w:abstractNumId w:val="250919"/>
  </w:num>
  <w:num w:numId="28">
    <w:abstractNumId w:val="250920"/>
  </w:num>
  <w:num w:numId="29">
    <w:abstractNumId w:val="250921"/>
  </w:num>
  <w:num w:numId="30">
    <w:abstractNumId w:val="2509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2026-02-03T06:49:13Z</dcterms:created>
  <dc:creator>Apache POI</dc:creator>
</cp:coreProperties>
</file>