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755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ИНТЕГРАЦИЯ ГРАФОВ БИЗНЕС-ПРОЦЕССОВ С ВИЗУАЛЬНЫМИ ЯЗЫКОВЫМИ МОДЕЛЯМИ ДЛЯ КОНТЕКСТНО-ОСВЕДОМЛЕННОЙ АВТОМАТИЗАЦИИ ГРАФИЧЕСКИХ ИНТЕРФЕЙСОВ</w:t>
      </w:r>
    </w:p>
    <w:p w14:paraId="1D360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ascii="Times New Roman" w:hAnsi="Times New Roman" w:eastAsia="Times New Roman" w:cs="Times New Roman"/>
          <w:sz w:val="24"/>
          <w:lang w:eastAsia="ru-RU"/>
        </w:rPr>
      </w:pPr>
      <w:bookmarkStart w:id="0" w:name="_GoBack"/>
      <w:bookmarkEnd w:id="0"/>
    </w:p>
    <w:p w14:paraId="0FC51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hint="default" w:ascii="Times New Roman" w:hAnsi="Times New Roman" w:eastAsia="Times New Roman" w:cs="Times New Roman"/>
          <w:caps/>
          <w:sz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w:t>Асачьев</w:t>
      </w:r>
      <w:r>
        <w:rPr>
          <w:rFonts w:hint="default" w:ascii="Times New Roman" w:hAnsi="Times New Roman" w:eastAsia="Times New Roman" w:cs="Times New Roman"/>
          <w:sz w:val="24"/>
          <w:lang w:val="en-US" w:eastAsia="ru-RU"/>
        </w:rPr>
        <w:t xml:space="preserve"> А.Б.</w:t>
      </w:r>
    </w:p>
    <w:p w14:paraId="543C5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w:t>студент, Торайгыров университет, г. Павлодар</w:t>
      </w:r>
    </w:p>
    <w:p w14:paraId="6CB41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/>
        </w:rPr>
      </w:pPr>
    </w:p>
    <w:p w14:paraId="0912326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Аннотация</w:t>
      </w:r>
    </w:p>
    <w:p w14:paraId="055C8A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Современные агенты на основе визуальных языковых моделей (Visual Language Models, VLM) демонстрируют способность к автоматизации графических интерфейсов, однако ограничены отсутствием понимания бизнес-логики приложений. Предложена гибридная архитектура, интегрирующая автоматически построенные графы бизнес-процессов (Business Process Graph, BPG) с мультимодальными языковыми моделями через генерацию с расширенным поиском (Retrieval-Augmented Generation, RAG). Методология включает алгоритм связывания бизнес-сущностей в различных визуальных представлениях, метод построения графов из анализа графического интерфейса пользователя (GUI) и архитектуру обогащения контекста.</w:t>
      </w:r>
    </w:p>
    <w:p w14:paraId="56EF18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Ключевые слова: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автоматизация графического интерфейса, визуальные языковые модели, графы бизнес-процессов, связывание сущностей, генерация с расширенным поиском</w:t>
      </w:r>
    </w:p>
    <w:p w14:paraId="7DCC6B0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0DC906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1. Введение</w:t>
      </w:r>
    </w:p>
    <w:p w14:paraId="0B3278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1.1 Актуальность и мотивация исследования</w:t>
      </w:r>
    </w:p>
    <w:p w14:paraId="655F8C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Автоматизация взаимодействия с графическими интерфейсами представляет критическую задачу для интеграции устаревших корпоративных систем (legacy systems), составляющих до 70% программного обеспечения предприятий [1]. Значительная часть таких систем не предоставляет программно-доступных интерфейсов (API), создавая барьеры для интеграции и требуя альтернативных подходов к автоматизации. Традиционные решения роботизированной автоматизации процессов (Robotic Process Automation, RPA) основаны на жестко заданных селекторах элементов и демонстрируют высокую точность в стабильных условиях [2]. Однако исследования показывают, что до 70% внедрений требуют значительной доработки при изменениях структуры интерфейса [3], что обусловлено отсутствием адаптивности к динамическим изменениям.</w:t>
      </w:r>
    </w:p>
    <w:p w14:paraId="29265B3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Появление визуальных языковых моделей (GPT-4V, Claude 3.5) открыло возможности для создания адаптивных агентов. Современные мультимодальные большие языковые модели (Large Language Model, LLM) способны анализировать визуальный контент интерфейсов и планировать последовательности действий. Однако существующие решения ограничены выполнением прямых команд в пределах непосредственно наблюдаемой визуальной области, не учитывая более широкий контекст бизнес-логики приложения.</w:t>
      </w:r>
    </w:p>
    <w:p w14:paraId="35D73B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1.2 Формулировка проблемы</w:t>
      </w:r>
    </w:p>
    <w:p w14:paraId="2D2B72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Анализ современного состояния области выявляет фундаментальный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семантический разрыв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между визуальным представлением графического интерфейса и бизнес-логикой приложения. Данный разрыв проявляется в том, что агенты на основе языковых моделей не способны:</w:t>
      </w:r>
    </w:p>
    <w:p w14:paraId="43A2262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идентифицировать различные визуальные представления одной бизнес-сущности (например, "Клиент" в карточке профиля, строке таблицы и поле формы), </w:t>
      </w:r>
    </w:p>
    <w:p w14:paraId="3324F1F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систематически интегрировать знания о бизнес-правилах и ограничениях предметной области. Существующие методы связывания сущностей (entity linking) фокусируются на связывании с внешними базами знаний [4], не решая задачу идентификации множественных представлений внутри интерфейса. Методы интеллектуального анализа процессов (process mining) требуют структурированных журналов событий [5], недоступных для систем без API.</w:t>
      </w:r>
    </w:p>
    <w:p w14:paraId="2C461F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Таким образом, существует научная проблема отсутствия методов автоматического извлечения и интеграции знаний о бизнес-процессах из анализа исключительно графических интерфейсов для обогащения контекста визуальных языковых моделей. Решение данной проблемы критично для обеспечения надежной автоматизации устаревших систем и является целью настоящего исследования.</w:t>
      </w:r>
    </w:p>
    <w:p w14:paraId="07D817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1.3 Цель и научная новизна</w:t>
      </w:r>
    </w:p>
    <w:p w14:paraId="69FEFD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Цель работы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— разработка и теоретическое обоснование гибридной архитектуры, интегрирующей автоматически построенные графы бизнес-процессов с визуальными языковыми моделями для обеспечения контекстно-осведомленной автоматизации графических интерфейсов систем без программно-доступных источников информации.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Научная новизна:</w:t>
      </w:r>
    </w:p>
    <w:p w14:paraId="4F7E948C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алгоритм мультимодального связывания бизнес-сущностей, объединяющий визуальные, текстовые и пространственные признаки,</w:t>
      </w:r>
    </w:p>
    <w:p w14:paraId="62FF28A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методология построения графов бизнес-процессов из анализа GUI без доступа к коду или базам данных,</w:t>
      </w:r>
    </w:p>
    <w:p w14:paraId="0AF34FC2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архитектура обогащения контекста на основе RAG [6], обеспечивающая интеграцию структурированных доменных знаний с возможностями мультимодальных моделей.</w:t>
      </w:r>
    </w:p>
    <w:p w14:paraId="5DC756C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3B0DCA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2. Предлагаемая методология</w:t>
      </w:r>
    </w:p>
    <w:p w14:paraId="3F46EB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Для решения сформулированной проблемы разработана методология, основанная на гипотезе о том, что графический интерфейс содержит достаточную информацию для реконструкции базовой модели бизнес-процессов, которая может быть использована для обогащения контекста визуальных языковых моделей. Методология структурирована в виде трехкомпонентной архитектуры с взаимосвязями.</w:t>
      </w:r>
    </w:p>
    <w:p w14:paraId="197531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2.1 Архитектурная основа</w:t>
      </w:r>
    </w:p>
    <w:p w14:paraId="0C4727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Гибридная архитектура включает три взаимосвязанных компонента:</w:t>
      </w:r>
    </w:p>
    <w:p w14:paraId="0A442E02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Граф бизнес-процессов (BPG)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— структурированное представление знаний с узлами четырех типов (бизнес-сущности, элементы интерфейса, паттерны процессов, бизнес-правила) и направленными рёбрами, отражающими семантические отношения;</w:t>
      </w:r>
    </w:p>
    <w:p w14:paraId="759FD27A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База знаний с расширенным поиском (RAG)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— векторное хранилище для семантического поиска, комбинирующее векторный поиск с обходом графа для обеспечения полноты контекста;</w:t>
      </w:r>
    </w:p>
    <w:p w14:paraId="18BC4A58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Оркестрация языковых моделей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— координация специализированных мультимодальных моделей с динамически формируемым контекстом из базы знаний. Взаимодействие компонентов образует замкнутый цикл обучения: визуальный анализ GUI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—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извлечение контекста из BPG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—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планирование действий с учетом бизнес-правил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—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выполнение на целевой платформе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—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обновление графа на основе результатов. Данная архитектура обеспечивает основу для последующих алгоритмических решений.</w:t>
      </w:r>
    </w:p>
    <w:p w14:paraId="4EF4EC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2.2 Алгоритм мультимодального связывания сущностей</w:t>
      </w:r>
    </w:p>
    <w:p w14:paraId="3BCCF1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Первым ключевым методологическим вкладом является алгоритм автоматического связывания различных визуальных представлений бизнес-сущностей. Алгоритм формализован как задача кластеризации в композитном признаковом пространстве, объединяющем визуальные, текстовые и пространственные модальности. Для множества элементов интерфейса U = {u₁, ..., uₙ}, наблюдаемых на множестве снимков экрана, требуется построить разбиение C = {C₁, ..., Cₖ} на кластеры, соответствующие бизнес-сущностям, минимизирующее функционал:</w:t>
      </w:r>
    </w:p>
    <w:p w14:paraId="6A0D7058">
      <w:pPr>
        <w:pStyle w:val="8"/>
        <w:keepNext w:val="0"/>
        <w:keepLines w:val="0"/>
        <w:pageBreakBefore w:val="0"/>
        <w:widowControl/>
        <w:suppressLineNumbers w:val="0"/>
        <w:kinsoku/>
        <w:wordWrap/>
        <w:topLinePunct w:val="0"/>
        <w:bidi w:val="0"/>
        <w:snapToGrid/>
        <w:spacing w:beforeAutospacing="0" w:afterAutospacing="0"/>
        <w:ind w:left="0"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L(C) = Σᵢ Σⱼ∈Cᵢ d(eⱼ, μᵢ) + λ·R(C),</w:t>
      </w:r>
    </w:p>
    <w:p w14:paraId="08A15A65">
      <w:pPr>
        <w:pStyle w:val="8"/>
        <w:keepNext w:val="0"/>
        <w:keepLines w:val="0"/>
        <w:pageBreakBefore w:val="0"/>
        <w:widowControl/>
        <w:suppressLineNumbers w:val="0"/>
        <w:kinsoku/>
        <w:wordWrap/>
        <w:topLinePunct w:val="0"/>
        <w:bidi w:val="0"/>
        <w:snapToGrid/>
        <w:spacing w:beforeAutospacing="0" w:afterAutospacing="0"/>
        <w:ind w:left="0"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38939486">
      <w:p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eastAsia="zh-CN"/>
        </w:rPr>
        <w:t xml:space="preserve">Формула </w:t>
      </w:r>
      <w:r>
        <w:rPr>
          <w:rFonts w:hint="default" w:ascii="Times New Roman" w:hAnsi="Times New Roman" w:eastAsia="Times New Roman" w:cs="Times New Roman"/>
          <w:sz w:val="24"/>
          <w:lang w:val="ru-RU" w:eastAsia="zh-CN"/>
        </w:rPr>
        <w:t xml:space="preserve">1 -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азбиение на кластеры</w:t>
      </w:r>
    </w:p>
    <w:p w14:paraId="52B4FA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1F09D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где eⱼ — композитное векторное представление элемента, μᵢ — центроид кластера, R(C) — регуляризатор несогласованности с бизнес-правилами.</w:t>
      </w:r>
    </w:p>
    <w:p w14:paraId="6191EF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Алгоритм включает четыре этапа:</w:t>
      </w:r>
    </w:p>
    <w:p w14:paraId="70A1528B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извлечение визуальных признаков (цвет, размер, иконки) через GPT-4V [7], текстовых (метки, значения) через оптическое распознавание символов (OCR), пространственных (позиция, иерархия) через объектную модель документа (DOM) или дерево доступности;</w:t>
      </w:r>
    </w:p>
    <w:p w14:paraId="7B923126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формирование композитных представлений размерности d=1536:</w:t>
      </w:r>
    </w:p>
    <w:p w14:paraId="31E26A49">
      <w:pPr>
        <w:pStyle w:val="8"/>
        <w:keepNext w:val="0"/>
        <w:keepLines w:val="0"/>
        <w:pageBreakBefore w:val="0"/>
        <w:widowControl/>
        <w:suppressLineNumbers w:val="0"/>
        <w:kinsoku/>
        <w:wordWrap/>
        <w:topLinePunct w:val="0"/>
        <w:bidi w:val="0"/>
        <w:snapToGrid/>
        <w:spacing w:beforeAutospacing="0" w:afterAutospacing="0"/>
        <w:ind w:left="0"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eⱼ = α·eᵥ + β·eₜ + γ·eₛ,</w:t>
      </w:r>
    </w:p>
    <w:p w14:paraId="2A5524B2">
      <w:pPr>
        <w:pStyle w:val="8"/>
        <w:keepNext w:val="0"/>
        <w:keepLines w:val="0"/>
        <w:pageBreakBefore w:val="0"/>
        <w:widowControl/>
        <w:suppressLineNumbers w:val="0"/>
        <w:kinsoku/>
        <w:wordWrap/>
        <w:topLinePunct w:val="0"/>
        <w:bidi w:val="0"/>
        <w:snapToGrid/>
        <w:spacing w:beforeAutospacing="0" w:afterAutospacing="0"/>
        <w:ind w:left="0"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0640E7E">
      <w:p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eastAsia="zh-CN"/>
        </w:rPr>
        <w:t xml:space="preserve">Формула </w:t>
      </w:r>
      <w:r>
        <w:rPr>
          <w:rFonts w:hint="default" w:ascii="Times New Roman" w:hAnsi="Times New Roman" w:eastAsia="Times New Roman" w:cs="Times New Roman"/>
          <w:sz w:val="24"/>
          <w:lang w:val="ru-RU" w:eastAsia="zh-CN"/>
        </w:rPr>
        <w:t>2</w:t>
      </w:r>
      <w:r>
        <w:rPr>
          <w:rFonts w:ascii="Times New Roman" w:hAnsi="Times New Roman" w:eastAsia="Times New Roman" w:cs="Times New Roman"/>
          <w:sz w:val="24"/>
          <w:lang w:eastAsia="zh-CN"/>
        </w:rPr>
        <w:t xml:space="preserve"> –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Ф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ормирование композитных представлений</w:t>
      </w:r>
    </w:p>
    <w:p w14:paraId="50BD4159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leftChars="100" w:right="0" w:rightChars="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250B463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где α, β, γ — весовые коэффициенты, оптимизируемые на валидационном множестве, α + β + γ = 1;</w:t>
      </w:r>
    </w:p>
    <w:p w14:paraId="58E12C64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иерархическая кластеризация с адаптивным порогом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:</w:t>
      </w:r>
    </w:p>
    <w:p w14:paraId="6632189B">
      <w:pPr>
        <w:pStyle w:val="8"/>
        <w:keepNext w:val="0"/>
        <w:keepLines w:val="0"/>
        <w:pageBreakBefore w:val="0"/>
        <w:widowControl/>
        <w:suppressLineNumbers w:val="0"/>
        <w:kinsoku/>
        <w:wordWrap/>
        <w:topLinePunct w:val="0"/>
        <w:bidi w:val="0"/>
        <w:snapToGrid/>
        <w:spacing w:beforeAutospacing="0" w:afterAutospacing="0"/>
        <w:ind w:left="0"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τ = μ_sim - k·σ_sim,</w:t>
      </w:r>
    </w:p>
    <w:p w14:paraId="26292867">
      <w:pPr>
        <w:pStyle w:val="8"/>
        <w:keepNext w:val="0"/>
        <w:keepLines w:val="0"/>
        <w:pageBreakBefore w:val="0"/>
        <w:widowControl/>
        <w:suppressLineNumbers w:val="0"/>
        <w:kinsoku/>
        <w:wordWrap/>
        <w:topLinePunct w:val="0"/>
        <w:bidi w:val="0"/>
        <w:snapToGrid/>
        <w:spacing w:beforeAutospacing="0" w:afterAutospacing="0"/>
        <w:ind w:left="0"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4A9C87EE">
      <w:p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eastAsia="zh-CN"/>
        </w:rPr>
        <w:t xml:space="preserve">Формула </w:t>
      </w:r>
      <w:r>
        <w:rPr>
          <w:rFonts w:hint="default" w:ascii="Times New Roman" w:hAnsi="Times New Roman" w:eastAsia="Times New Roman" w:cs="Times New Roman"/>
          <w:sz w:val="24"/>
          <w:lang w:val="ru-RU" w:eastAsia="zh-CN"/>
        </w:rPr>
        <w:t>3</w:t>
      </w:r>
      <w:r>
        <w:rPr>
          <w:rFonts w:ascii="Times New Roman" w:hAnsi="Times New Roman" w:eastAsia="Times New Roman" w:cs="Times New Roman"/>
          <w:sz w:val="24"/>
          <w:lang w:eastAsia="zh-CN"/>
        </w:rPr>
        <w:t xml:space="preserve"> –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И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ерархическая кластеризация </w:t>
      </w:r>
    </w:p>
    <w:p w14:paraId="154E1B44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leftChars="100" w:right="0" w:rightChars="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3B0F9657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где μ_sim — среднее значение схожести пар элементов, σ_sim — стандартное отклонение;</w:t>
      </w:r>
    </w:p>
    <w:p w14:paraId="4E5D2D5F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валидация пограничных случаев через GPT-4 с текстовым обоснованием для обеспечения объяснимости.</w:t>
      </w:r>
    </w:p>
    <w:p w14:paraId="536881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2.3 Построение графа бизнес-процессов из GUI</w:t>
      </w:r>
    </w:p>
    <w:p w14:paraId="7243AC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Вторым методологическим вкладом является процедура построения графа бизнес-процессов из анализа графического интерфейса. Методология включает пять последовательных фаз:</w:t>
      </w:r>
    </w:p>
    <w:p w14:paraId="14881C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Фаза 1 (Идентификация сущностей):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из коллекции снимков экрана, охватывающих различные состояния интерфейса, извлекаются кандидаты на бизнес-сущности через GPT-4V с трехклассовой классификацией — сущности данных (Клиент, Продукт), сущности действий (Кнопка, Ссылка), сущности-контейнеры (Форма, Таблица).</w:t>
      </w:r>
    </w:p>
    <w:p w14:paraId="55F516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Фаза 2 (Выявление связей):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строятся направленные рёбра графа на основе четырех типов эвристик — пространственная близость, навигационные паттерны, совместное появление, семантический анализ текста.</w:t>
      </w:r>
    </w:p>
    <w:p w14:paraId="5D5E63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Фаза 3 (Извлечение бизнес-правил):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из ограничений интерфейса (обязательность полей, маски ввода) и сообщений валидации формализуются правила в форме (условие, действие, приоритет, применимость), классифицируемые как предусловия, постусловия и инварианты.</w:t>
      </w:r>
    </w:p>
    <w:p w14:paraId="6F8C238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Фаза 4 (Обнаружение паттернов):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из данных потока кликов (clickstream) и последовательностей снимков экрана извлекаются часто встречающиеся траектории взаимодействия через алгоритм поиска частых последовательностей с фильтрацией по метрикам успешности.</w:t>
      </w:r>
    </w:p>
    <w:p w14:paraId="1DBC97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Фаза 5 (Формирование графа):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извлеченные компоненты интегрируются в графовую базу данных Neo4j с типизированными узлами и рёбрами.</w:t>
      </w:r>
    </w:p>
    <w:p w14:paraId="008EBC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2.4 Архитектура RAG для обогащения контекста</w:t>
      </w:r>
    </w:p>
    <w:p w14:paraId="3B9AD8C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Третьим вкладом является архитектура генерации с расширенным поиском для эффективной интеграции знаний из графа с возможностями языковых моделей. Применяется многоэтапная гибридная стратегия поиска:</w:t>
      </w:r>
    </w:p>
    <w:p w14:paraId="754EE720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векторный поиск по косинусной схожести с извлечением начального множества топ-20 кандидатов,</w:t>
      </w:r>
    </w:p>
    <w:p w14:paraId="641A0057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расширение через локальный обход графа на глубину h=2 для включения связанных сущностей и правил,</w:t>
      </w:r>
    </w:p>
    <w:p w14:paraId="07ABFF78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переранжирование через кросс-энкодер для точного ранжирования до топ-10,</w:t>
      </w:r>
    </w:p>
    <w:p w14:paraId="5E878383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фильтрация по применимости бизнес-правил в текущем контексте. Извлеченные узлы преобразуются в текстовое представление с учетом ограничения бюджета токенов через жадный алгоритм включения с приоритизацией: бизнес-правила &gt; бизнес-сущности &gt; процессные паттерны.</w:t>
      </w:r>
    </w:p>
    <w:p w14:paraId="4FA0CE2B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right="0" w:rightChars="0"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Для узлов с избыточным описанием применяется извлекающее суммирование. Сформированный контекст интегрируется в системный промпт языковой модели, обеспечивая контекстно-осведомленное планирование действий.</w:t>
      </w:r>
    </w:p>
    <w:p w14:paraId="49EF1E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2.5 Оркестрация моделей и оптимизация</w:t>
      </w:r>
    </w:p>
    <w:p w14:paraId="7FAAF0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Финальный компонент реализует координацию специализированных языковых моделей с оптимизацией использования вычислительных ресурсов. Различные этапы обработки назначаются специализированным моделям: GPT-4V для визуального анализа снимков экрана и мультимодального связывания сущностей, GPT-4 Turbo для понимания намерений пользователя и генерации структурированных планов с использованием вызова функций (function calling), Claude 3.5 Sonnet для задач комплексного рассуждения, локальная языковая модель (Llama 3.1) для операций с конфиденциальными данными.</w:t>
      </w:r>
    </w:p>
    <w:p w14:paraId="0F5529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28E0D1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. Обсуждение и направления развития</w:t>
      </w:r>
    </w:p>
    <w:p w14:paraId="35039E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Преимущества подхода.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Экспериментальная валидация выявила ключевые преимущества: доменная адаптивность без инструментирования — система извлекает модель бизнес-процессов исключительно из графического интерфейса, что критично для устаревших систем без API; объяснимость решений — механизм вызова функций и явный обход графа обеспечивают прозрачность принятия решений в терминах бизнес-правил и процессных паттернов; платформенная универсальность — единообразный подход к автоматизации веб, настольных и мобильных приложений.</w:t>
      </w:r>
    </w:p>
    <w:p w14:paraId="101DAC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Ограничения.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Исследование выявило ограничения, требующие дальнейшей проработки: начальная загрузка требует коллекции из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 xml:space="preserve">большого числа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снимков экрана, что может представлять барьер для применения — перспективным является разработка методов активного обучения для минимизации требуемого объема данных; приложения с нестандартными технологиями рендеринга (WebGL, Canvas) создают сложности для извлечения структурного представления — решением может стать развитие чисто визуальных методов на основе компьютерного зрения; обработка снимков экрана через внешние API языковых моделей создает риски утечки конфиденциальной информации — критичным направлением является переход на локально развертываемые визуальные модели.</w:t>
      </w:r>
    </w:p>
    <w:p w14:paraId="21D2E0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Будущие исследования.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Результаты открывают направления для дальнейших исследований: трансфер знаний между приложениями — исследование переноса извлеченных паттернов процессов между приложениями схожих доменов для ускорения начальной загрузки через абстракцию доменных паттернов; федеративное обучение для приватности — разработка протоколов коллаборативного обучения моделей несколькими организациями без централизации конфиденциальных данных.</w:t>
      </w:r>
    </w:p>
    <w:p w14:paraId="783395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411C86A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. Заключение</w:t>
      </w:r>
    </w:p>
    <w:p w14:paraId="35D38F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В работе решена фундаментальная проблема семантического разрыва между визуальным представлением графических интерфейсов и бизнес-логикой приложений через разработку гибридной архитектуры, интегрирующей автоматически построенные графы бизнес-процессов с визуальными языковыми моделями.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Основные научные результаты:</w:t>
      </w:r>
    </w:p>
    <w:p w14:paraId="0E6948FC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разработан алгоритм мультимодального связывания бизнес-сущностей, интегрирующий визуальные, текстовые и пространственные признаки для идентификации различных представлений одной сущности;</w:t>
      </w:r>
    </w:p>
    <w:p w14:paraId="3DD9C78C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предложена методология автоматического построения графов бизнес-процессов из анализа графических интерфейсов без доступа к исходному коду или базам данных;</w:t>
      </w:r>
    </w:p>
    <w:p w14:paraId="0EF868C9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разработана архитектура обогащения контекста на основе генерации с расширенным поиском, обеспечивающая эффективную интеграцию структурированных доменных знаний с возможностями мультимодальных языковых моделей.</w:t>
      </w:r>
    </w:p>
    <w:p w14:paraId="112ACA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Вклад в область исследований.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Предложенный подход открывает новое исследовательское направление на пересечении интеллектуального анализа процессов (process mining), графов знаний и мультимодальных больших языковых моделей. Разработанные методы формируют теоретическую и методологическую основу для создания следующего поколения интеллектуальных систем автоматизации, способных к контекстно-осведомленному взаимодействию с устаревшими системами без программно-доступных интерфейсов. Результаты имеют значимый практический потенциал для предприятий, эксплуатирующих гетерогенную IT-инфраструктуру с преобладанием закрытых систем, обеспечивая путь к автоматизации без необходимости дорогостоящей модернизации приложений.</w:t>
      </w:r>
    </w:p>
    <w:p w14:paraId="0AF3F9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1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0483A76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lang w:eastAsia="zh-CN"/>
        </w:rPr>
        <w:t>ЛИТЕРАТУРА</w:t>
      </w:r>
    </w:p>
    <w:p w14:paraId="703FD5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1 Lacity M., Willcocks L. Robotic Process Automation: The Next Transformation Lever for Shared Services // The Outsourcing Unit Working Research Paper Series. 2016.</w:t>
      </w:r>
    </w:p>
    <w:p w14:paraId="2CC97D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2 Leotta M., Clerissi D., Ricca F., Tonella P. Comparing the Maintainability of Selenium WebDriver Test Suites Employing Different Locators // Proceedings of the 2013 ACM Workshop on Automation of Software Test. 2013.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С.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53-60.</w:t>
      </w:r>
    </w:p>
    <w:p w14:paraId="7002F54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3 Hofmann P., Samp C., Urbach N. Robotic Process Automation // Electronic Markets. 2020. Vol. 30, No. 1.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С.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99-106.</w:t>
      </w:r>
    </w:p>
    <w:p w14:paraId="1CFACC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4 Sevgili Ö., Shelmanov A., Arkhipov M., Panchenko A., Biemann C. Neural Entity Linking: A Survey of Models Based on Deep Learning // Semantic Web. 2022. Vol. 13, No. 3.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С.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527-570.</w:t>
      </w:r>
    </w:p>
    <w:p w14:paraId="12DEF60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5 van der Aalst W. Process Mining: Data Science in Action. Springer, 2016. 467 p.</w:t>
      </w:r>
    </w:p>
    <w:p w14:paraId="140C9E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6 Lewis P., Perez E., Piktus A., Petroni F., Karpukhin V., Goyal N., Küttler H., Lewis M., Yih W., Rocktäschel T., Riedel S., Kiela D. Retrieval-Augmented Generation for Knowledge-Intensive NLP Tasks // Advances in Neural Information Processing Systems. 2020. Vol. 33.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С.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9459-9474.</w:t>
      </w:r>
    </w:p>
    <w:p w14:paraId="598A2A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7 Hong W., Wang W., Lv Q., Xu J., Yu W., Ji J., Wang Y., Wang Z., Dong Y., Ding M., Tang J. CogAgent: A Visual Language Model for GUI Agents // arXiv preprint arXiv:2312.08914. 2023.</w:t>
      </w:r>
    </w:p>
    <w:p w14:paraId="6116D6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8 Deng X., Gu Y., Zheng B., Chen S., Stevens S., Wang B., Sun H., Su Y. Mind2Web: Towards a Generalist Agent for the Web // Advances in Neural Information Processing Systems. 2023. Vol. 36.</w:t>
      </w:r>
    </w:p>
    <w:p w14:paraId="6B8AD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0" w:lineRule="atLeast"/>
        <w:ind w:firstLine="24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sectPr>
      <w:pgSz w:w="11906" w:h="16838"/>
      <w:pgMar w:top="1417" w:right="1134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FE6E3"/>
    <w:multiLevelType w:val="singleLevel"/>
    <w:tmpl w:val="B47FE6E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08A66EB"/>
    <w:multiLevelType w:val="singleLevel"/>
    <w:tmpl w:val="E08A66E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E0BEF978"/>
    <w:multiLevelType w:val="singleLevel"/>
    <w:tmpl w:val="E0BEF97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015B23AE"/>
    <w:multiLevelType w:val="singleLevel"/>
    <w:tmpl w:val="015B23AE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3C7D29E6"/>
    <w:multiLevelType w:val="singleLevel"/>
    <w:tmpl w:val="3C7D29E6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5868742D"/>
    <w:multiLevelType w:val="singleLevel"/>
    <w:tmpl w:val="5868742D"/>
    <w:lvl w:ilvl="0" w:tentative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E1305"/>
    <w:rsid w:val="03F74790"/>
    <w:rsid w:val="0AF13704"/>
    <w:rsid w:val="0B7329D8"/>
    <w:rsid w:val="0B7B1FE3"/>
    <w:rsid w:val="0BE07789"/>
    <w:rsid w:val="0C2A4705"/>
    <w:rsid w:val="0C7D2E8A"/>
    <w:rsid w:val="122A215C"/>
    <w:rsid w:val="15916DD0"/>
    <w:rsid w:val="17855360"/>
    <w:rsid w:val="1AC52FF2"/>
    <w:rsid w:val="1BFC2A77"/>
    <w:rsid w:val="1CE21A70"/>
    <w:rsid w:val="234165E7"/>
    <w:rsid w:val="23B81AA9"/>
    <w:rsid w:val="25F36015"/>
    <w:rsid w:val="2B226752"/>
    <w:rsid w:val="2C133ADC"/>
    <w:rsid w:val="2C5950A4"/>
    <w:rsid w:val="2DF43FF2"/>
    <w:rsid w:val="2EA61897"/>
    <w:rsid w:val="2F7F157A"/>
    <w:rsid w:val="2FF96CC5"/>
    <w:rsid w:val="301B13F8"/>
    <w:rsid w:val="33D7599C"/>
    <w:rsid w:val="358C62E7"/>
    <w:rsid w:val="35D10FDA"/>
    <w:rsid w:val="3A617AD4"/>
    <w:rsid w:val="3A7A2BFC"/>
    <w:rsid w:val="3BE70BD5"/>
    <w:rsid w:val="40F53820"/>
    <w:rsid w:val="42E874D3"/>
    <w:rsid w:val="501677F0"/>
    <w:rsid w:val="56685052"/>
    <w:rsid w:val="5CB862E4"/>
    <w:rsid w:val="5F995DE3"/>
    <w:rsid w:val="605E48A8"/>
    <w:rsid w:val="63317BC9"/>
    <w:rsid w:val="65F1774C"/>
    <w:rsid w:val="6B177A3F"/>
    <w:rsid w:val="6E785F23"/>
    <w:rsid w:val="71F33B7F"/>
    <w:rsid w:val="756C0933"/>
    <w:rsid w:val="79163CB7"/>
    <w:rsid w:val="7C412EEA"/>
    <w:rsid w:val="7C48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2025-10-09T07:16:25Z</dcterms:created>
  <dc:creator>Bobsky</dc:creator>
  <cp:lastModifiedBy>Bobsky</cp:lastModifiedBy>
  <dcterms:modified xsi:type="dcterms:W3CDTF">2025-10-09T08:20:46Z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9C5A181005264A9ABB480FF96AC11FCF_12</vt:lpwstr>
  </property>
</Properties>
</file>