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BD10" w14:textId="553A6C38" w:rsidR="00F8581D" w:rsidRDefault="006D5D85">
      <w:r>
        <w:t>Multi-Asset Risk Dashboard and Portfolio:</w:t>
      </w:r>
    </w:p>
    <w:p w14:paraId="18936045" w14:textId="7BFFB23C" w:rsidR="00213C9F" w:rsidRDefault="00AB1E87">
      <w:r>
        <w:t>I have chosen 24 assets across 6 sectors which I feel will define th</w:t>
      </w:r>
      <w:r w:rsidR="00CA3986">
        <w:t>e (global) economy</w:t>
      </w:r>
      <w:r w:rsidR="009408D4">
        <w:t xml:space="preserve"> in the next twenty years. </w:t>
      </w:r>
      <w:r w:rsidR="00C27BD9">
        <w:t xml:space="preserve">With the rise of AI </w:t>
      </w:r>
      <w:r w:rsidR="000A14D3">
        <w:t xml:space="preserve">since the beginning of the decade, a multitude of big tech companies have invested </w:t>
      </w:r>
      <w:r w:rsidR="00213C9F">
        <w:t>billions in AI technology. While not all investments are a guaranteed success, some end up exceeding expectations.</w:t>
      </w:r>
    </w:p>
    <w:p w14:paraId="074188AE" w14:textId="2129953C" w:rsidR="002C6E1B" w:rsidRDefault="0050606D">
      <w:r>
        <w:t>Moreover, to combat rising costs for customers, it is imperative that the semiconductor business booms. Companies such as NVIDIA and MICRON are expected to grow in the next few years.</w:t>
      </w:r>
      <w:r w:rsidR="000D54D2">
        <w:t xml:space="preserve"> This industry, given the </w:t>
      </w:r>
      <w:r w:rsidR="00626245">
        <w:t>advancement of technology in various fields, is expected to become more essential, possibly be the leading driver of the economy in the future.</w:t>
      </w:r>
      <w:r w:rsidR="00282D4C">
        <w:t xml:space="preserve"> </w:t>
      </w:r>
      <w:r w:rsidR="00707367">
        <w:t xml:space="preserve">Obviously, with AI being utilized in nearly every sector, data centres would be a necessity. Therefore, the data centre sector would see </w:t>
      </w:r>
      <w:r w:rsidR="00FE7F3A">
        <w:t xml:space="preserve">a boom as well. </w:t>
      </w:r>
    </w:p>
    <w:p w14:paraId="146C5C02" w14:textId="6088EBB8" w:rsidR="00282D4C" w:rsidRDefault="00282D4C">
      <w:r>
        <w:t>The final of the six sectors chosen was Defen</w:t>
      </w:r>
      <w:r w:rsidR="00F44A05">
        <w:t>s</w:t>
      </w:r>
      <w:r>
        <w:t xml:space="preserve">e. While it may seem odd given the </w:t>
      </w:r>
      <w:r w:rsidR="00E60CCB">
        <w:t xml:space="preserve">other sectors chosen for this portfolio, </w:t>
      </w:r>
      <w:r w:rsidR="008118B2">
        <w:t xml:space="preserve">this sector was considered as my sixth and final one for a few reasons. The United States has </w:t>
      </w:r>
      <w:r w:rsidR="00537551">
        <w:t>advocated for</w:t>
      </w:r>
      <w:r w:rsidR="008118B2">
        <w:t xml:space="preserve"> NATO </w:t>
      </w:r>
      <w:r w:rsidR="00F44A05">
        <w:t>parties to spend at least 5% of their GDP on Defense/Military</w:t>
      </w:r>
      <w:r w:rsidR="00537551">
        <w:t xml:space="preserve"> (</w:t>
      </w:r>
      <w:hyperlink r:id="rId5" w:history="1">
        <w:r w:rsidR="00537551" w:rsidRPr="00F823D3">
          <w:rPr>
            <w:rStyle w:val="Hyperlink"/>
          </w:rPr>
          <w:t>https://www.nato.int/en/what-we-do/introduction-to-nato/defence-expenditures-and-natos-5-commitment</w:t>
        </w:r>
      </w:hyperlink>
      <w:r w:rsidR="00537551">
        <w:t xml:space="preserve">). </w:t>
      </w:r>
      <w:r w:rsidR="00793D0F">
        <w:t>USA, in general, spend nearly $1 trillion on their military (</w:t>
      </w:r>
      <w:hyperlink r:id="rId6" w:history="1">
        <w:r w:rsidR="00793D0F" w:rsidRPr="00F823D3">
          <w:rPr>
            <w:rStyle w:val="Hyperlink"/>
          </w:rPr>
          <w:t>https://www.statista.com/statistics/262742/countries-with-the-highest-military-spending/</w:t>
        </w:r>
      </w:hyperlink>
      <w:r w:rsidR="00793D0F">
        <w:t xml:space="preserve">), and with a new generation of </w:t>
      </w:r>
      <w:r w:rsidR="00482E4A">
        <w:t xml:space="preserve">jet fighters on the horizon, it would be probable to assume the </w:t>
      </w:r>
      <w:r w:rsidR="003C6C02">
        <w:t>rise in the market value of military/defense-based stocks</w:t>
      </w:r>
      <w:r w:rsidR="0039354E">
        <w:t>, with some of them becoming Mega-Cap (more than $200 billion).</w:t>
      </w:r>
    </w:p>
    <w:p w14:paraId="74D79F74" w14:textId="534EE321" w:rsidR="0068017C" w:rsidRDefault="00FE7F3A">
      <w:r>
        <w:t xml:space="preserve">However, this is nothing but a mere estimation of where the market would head. </w:t>
      </w:r>
      <w:r w:rsidR="0068017C">
        <w:t>The following assumptions are put in place for the risk dashboard and portfolio of these asset</w:t>
      </w:r>
      <w:r w:rsidR="002A35E1">
        <w:t>s:</w:t>
      </w:r>
    </w:p>
    <w:p w14:paraId="32E8F06E" w14:textId="6A4A4CEC" w:rsidR="002A35E1" w:rsidRDefault="002A35E1" w:rsidP="002A35E1">
      <w:pPr>
        <w:pStyle w:val="ListParagraph"/>
        <w:numPr>
          <w:ilvl w:val="0"/>
          <w:numId w:val="1"/>
        </w:numPr>
      </w:pPr>
      <w:r>
        <w:t>The AI bubble does not burst</w:t>
      </w:r>
      <w:r w:rsidR="003267AF">
        <w:t xml:space="preserve">, but instead </w:t>
      </w:r>
      <w:r w:rsidR="00265815">
        <w:t>the AI hype decreases as it becomes integrated with daily life.</w:t>
      </w:r>
      <w:r w:rsidR="00FA513B">
        <w:t xml:space="preserve"> A slow progression and advancement of AI continues into the future, with governmental </w:t>
      </w:r>
      <w:r w:rsidR="00A77ED6">
        <w:t xml:space="preserve">restrictions to ensure that the job market is stable and it benefits the working </w:t>
      </w:r>
      <w:r w:rsidR="00D467A9">
        <w:t>population and</w:t>
      </w:r>
      <w:r w:rsidR="00A77ED6">
        <w:t xml:space="preserve"> not hinder them.</w:t>
      </w:r>
    </w:p>
    <w:p w14:paraId="2962DF26" w14:textId="7E13D36A" w:rsidR="003C68C7" w:rsidRDefault="00D467A9" w:rsidP="00360346">
      <w:pPr>
        <w:pStyle w:val="ListParagraph"/>
        <w:numPr>
          <w:ilvl w:val="0"/>
          <w:numId w:val="1"/>
        </w:numPr>
      </w:pPr>
      <w:r>
        <w:t xml:space="preserve">The geopolitical situation remains stable. </w:t>
      </w:r>
      <w:r w:rsidR="00EC5E52">
        <w:t xml:space="preserve">At the time of creating this, there are several conflicts happening across the world, particularly one in the Middle East which had tanked stocks and nearly doubled the price of Brent and Oil. </w:t>
      </w:r>
      <w:r w:rsidR="00360346">
        <w:t xml:space="preserve">It is known that </w:t>
      </w:r>
      <w:r w:rsidR="00D1039D">
        <w:t>geopolitical conflicts and potential regional wars could hinder the economy, and therefore, to ensure simplicity, I have assumed the stability</w:t>
      </w:r>
      <w:r w:rsidR="008040CC">
        <w:t xml:space="preserve"> of the geopolitical situation (as in, it would be around the same </w:t>
      </w:r>
      <w:r w:rsidR="006D202C">
        <w:t>(with fluctuations slightly better or worse)</w:t>
      </w:r>
      <w:r w:rsidR="008040CC">
        <w:t xml:space="preserve"> compared to the current time).</w:t>
      </w:r>
    </w:p>
    <w:p w14:paraId="4927D2B1" w14:textId="20770EE0" w:rsidR="008040CC" w:rsidRDefault="00177512" w:rsidP="00360346">
      <w:pPr>
        <w:pStyle w:val="ListParagraph"/>
        <w:numPr>
          <w:ilvl w:val="0"/>
          <w:numId w:val="1"/>
        </w:numPr>
      </w:pPr>
      <w:r>
        <w:t>The tariff situation does not spiral under control. Under Donald Trump, tariffs were imposed on nearly every country, particularly Canada and China, with</w:t>
      </w:r>
      <w:r w:rsidR="006606D7">
        <w:t xml:space="preserve"> his reasons surrounding leveraging economic policies, and protecting U.S. </w:t>
      </w:r>
      <w:r w:rsidR="006606D7">
        <w:lastRenderedPageBreak/>
        <w:t xml:space="preserve">industry/trade. However, the opposite has happened, with the job market not showing signs of improvement, and wealth inequality worsening. </w:t>
      </w:r>
      <w:r w:rsidR="00701DB0">
        <w:t xml:space="preserve">With Trump’s term to end by January 2029, it remains in the balance as to whether the next president (Democrat or Republican) will reverse or reduce these </w:t>
      </w:r>
      <w:r w:rsidR="0075446E">
        <w:t>tariffs and</w:t>
      </w:r>
      <w:r w:rsidR="00701DB0">
        <w:t xml:space="preserve"> be more open to global trade.</w:t>
      </w:r>
      <w:r w:rsidR="00575DEC">
        <w:t xml:space="preserve"> </w:t>
      </w:r>
    </w:p>
    <w:p w14:paraId="5402ADC3" w14:textId="1D42BAAD" w:rsidR="00E62EAA" w:rsidRDefault="00E62EAA" w:rsidP="00E62EAA">
      <w:r>
        <w:t>I have considered three different portfolios to compare: Risk Parity, Equal-Weight, and Black-Litterman.</w:t>
      </w:r>
      <w:r w:rsidR="006A76D3">
        <w:t xml:space="preserve"> The risk parity ensures equal risk (volatility) for each of the 24 assets, and the </w:t>
      </w:r>
      <w:r w:rsidR="00E46618">
        <w:t>equal weight portfolio ensures equal weightage (4.167%) for each asset.</w:t>
      </w:r>
    </w:p>
    <w:p w14:paraId="03C2CC38" w14:textId="77777777" w:rsidR="00343DF1" w:rsidRDefault="00343DF1" w:rsidP="00E62EAA"/>
    <w:p w14:paraId="0B29F856" w14:textId="0E1D9AB4" w:rsidR="00343DF1" w:rsidRDefault="00343DF1" w:rsidP="00343DF1">
      <w:pPr>
        <w:pStyle w:val="Heading2"/>
      </w:pPr>
      <w:r>
        <w:t>Black-Litterman Model</w:t>
      </w:r>
    </w:p>
    <w:p w14:paraId="4CCF7937" w14:textId="77777777" w:rsidR="00C20CFA" w:rsidRDefault="00A1288F" w:rsidP="00E62EAA">
      <w:r>
        <w:t xml:space="preserve">The first portfolio that was </w:t>
      </w:r>
      <w:r w:rsidR="004169A3">
        <w:t>developed and optimized was the Black-Litterman portfolio.</w:t>
      </w:r>
    </w:p>
    <w:p w14:paraId="0DCF3746" w14:textId="1F70A486" w:rsidR="008771E9" w:rsidRDefault="00C20CFA" w:rsidP="00E62EAA">
      <w:r>
        <w:t>The first step in this model is to do a reverse optimization</w:t>
      </w:r>
      <w:r w:rsidR="008771E9">
        <w:t>, which allows to derive equilibrium returns, based off this formula (</w:t>
      </w:r>
      <w:hyperlink r:id="rId7" w:history="1">
        <w:r w:rsidR="008771E9" w:rsidRPr="008742E8">
          <w:rPr>
            <w:rStyle w:val="Hyperlink"/>
          </w:rPr>
          <w:t>https://people.duke.edu/~charvey/Teaching/BA453_2006/Idzorek_onBL.pdf</w:t>
        </w:r>
      </w:hyperlink>
      <w:r w:rsidR="008771E9">
        <w:t>)</w:t>
      </w:r>
    </w:p>
    <w:p w14:paraId="237AAEDA" w14:textId="4BFE52DF" w:rsidR="00A1288F" w:rsidRPr="005A7722"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Default="005A7722" w:rsidP="005A7722">
      <w:pPr>
        <w:rPr>
          <w:rFonts w:eastAsiaTheme="minorEastAsia"/>
        </w:rPr>
      </w:pPr>
      <w:r>
        <w:rPr>
          <w:rFonts w:eastAsiaTheme="minorEastAsia"/>
        </w:rPr>
        <w:t xml:space="preserve">Where </w:t>
      </w:r>
      <w:r w:rsidR="00CE29E8">
        <w:rPr>
          <w:rFonts w:eastAsiaTheme="minorEastAsia"/>
        </w:rPr>
        <w:t>Π =</w:t>
      </w:r>
      <w:r>
        <w:rPr>
          <w:rFonts w:eastAsiaTheme="minorEastAsia"/>
        </w:rPr>
        <w:t xml:space="preserve"> implied excess equilibrium return vector, </w:t>
      </w:r>
      <w:r w:rsidR="004224B3">
        <w:rPr>
          <w:rFonts w:eastAsiaTheme="minorEastAsia"/>
        </w:rPr>
        <w:t xml:space="preserve">λ = </w:t>
      </w:r>
      <w:r w:rsidR="00CE29E8">
        <w:rPr>
          <w:rFonts w:eastAsiaTheme="minorEastAsia"/>
        </w:rPr>
        <w:t>risk aversion coefficient, Σ = covariance matrix of excess returns, and w</w:t>
      </w:r>
      <w:r w:rsidR="00CE29E8">
        <w:rPr>
          <w:rFonts w:eastAsiaTheme="minorEastAsia"/>
          <w:vertAlign w:val="subscript"/>
        </w:rPr>
        <w:t>mkt</w:t>
      </w:r>
      <w:r w:rsidR="00CE29E8">
        <w:rPr>
          <w:rFonts w:eastAsiaTheme="minorEastAsia"/>
        </w:rPr>
        <w:t xml:space="preserve"> = market capitalization weight of the assets.</w:t>
      </w:r>
    </w:p>
    <w:p w14:paraId="6ED46A96" w14:textId="2587100D" w:rsidR="00B51A81" w:rsidRDefault="00B51A81" w:rsidP="005A7722">
      <w:pPr>
        <w:rPr>
          <w:rFonts w:eastAsiaTheme="minorEastAsia"/>
        </w:rPr>
      </w:pPr>
      <w:r>
        <w:rPr>
          <w:rFonts w:eastAsiaTheme="minorEastAsia"/>
        </w:rPr>
        <w:t>Π and Σ will vary with each rolling period, but w</w:t>
      </w:r>
      <w:r>
        <w:rPr>
          <w:rFonts w:eastAsiaTheme="minorEastAsia"/>
          <w:vertAlign w:val="subscript"/>
        </w:rPr>
        <w:t>mkt</w:t>
      </w:r>
      <w:r>
        <w:rPr>
          <w:rFonts w:eastAsiaTheme="minorEastAsia"/>
        </w:rPr>
        <w:t xml:space="preserve"> remains constant (which is calculated based off each asset’s market capitalization).</w:t>
      </w:r>
    </w:p>
    <w:p w14:paraId="3EF3DA01" w14:textId="57E05848" w:rsidR="00B51A81" w:rsidRDefault="00B51A81" w:rsidP="005A7722">
      <w:pPr>
        <w:rPr>
          <w:rFonts w:eastAsiaTheme="minorEastAsia"/>
        </w:rPr>
      </w:pPr>
      <w:r>
        <w:rPr>
          <w:rFonts w:eastAsiaTheme="minorEastAsia"/>
        </w:rPr>
        <w:t>For the risk aversion coefficient (</w:t>
      </w:r>
      <w:r w:rsidR="002863B7">
        <w:rPr>
          <w:rFonts w:eastAsiaTheme="minorEastAsia"/>
        </w:rPr>
        <w:t xml:space="preserve">λ), I have decided against assuming </w:t>
      </w:r>
      <w:r w:rsidR="00B920D2">
        <w:rPr>
          <w:rFonts w:eastAsiaTheme="minorEastAsia"/>
        </w:rPr>
        <w:t>a value depending on the aggressiveness (or risk tolerance) of the portfolio, and instead, calculate it b</w:t>
      </w:r>
      <w:r w:rsidR="007D44BF">
        <w:rPr>
          <w:rFonts w:eastAsiaTheme="minorEastAsia"/>
        </w:rPr>
        <w:t>ased off each rolling period, and the risk-free rate of each rolling period’s end date. Data for the risk-free rate was taken from (</w:t>
      </w:r>
      <w:hyperlink r:id="rId8" w:history="1">
        <w:r w:rsidR="001317A5" w:rsidRPr="00850908">
          <w:rPr>
            <w:rStyle w:val="Hyperlink"/>
            <w:rFonts w:eastAsiaTheme="minorEastAsia"/>
          </w:rPr>
          <w:t>https://fred.stlouisfed.org/series/DGS3MO</w:t>
        </w:r>
      </w:hyperlink>
      <w:r w:rsidR="001317A5">
        <w:rPr>
          <w:rFonts w:eastAsiaTheme="minorEastAsia"/>
        </w:rPr>
        <w:t>)</w:t>
      </w:r>
    </w:p>
    <w:p w14:paraId="3EF120DA" w14:textId="6B2BF7D9" w:rsidR="001317A5" w:rsidRDefault="00C7728C" w:rsidP="005A7722">
      <w:pPr>
        <w:rPr>
          <w:rFonts w:eastAsiaTheme="minorEastAsia"/>
        </w:rPr>
      </w:pPr>
      <w:r>
        <w:rPr>
          <w:rFonts w:eastAsiaTheme="minorEastAsia"/>
        </w:rPr>
        <w:t>Based off the assumptions mentioned above, as well as current market trends, I expect</w:t>
      </w:r>
      <w:r w:rsidR="002A5015">
        <w:rPr>
          <w:rFonts w:eastAsiaTheme="minorEastAsia"/>
        </w:rPr>
        <w:t xml:space="preserve"> the following </w:t>
      </w:r>
      <w:r w:rsidR="008C4D20">
        <w:rPr>
          <w:rFonts w:eastAsiaTheme="minorEastAsia"/>
        </w:rPr>
        <w:t>4</w:t>
      </w:r>
      <w:r w:rsidR="002A5015">
        <w:rPr>
          <w:rFonts w:eastAsiaTheme="minorEastAsia"/>
        </w:rPr>
        <w:t xml:space="preserve"> views from an investor’s perspective.</w:t>
      </w:r>
    </w:p>
    <w:p w14:paraId="248A01B4" w14:textId="58C03BF8" w:rsidR="002A5015" w:rsidRDefault="002A5015" w:rsidP="002A5015">
      <w:pPr>
        <w:pStyle w:val="ListParagraph"/>
        <w:numPr>
          <w:ilvl w:val="0"/>
          <w:numId w:val="1"/>
        </w:numPr>
        <w:rPr>
          <w:rFonts w:eastAsiaTheme="minorEastAsia"/>
        </w:rPr>
      </w:pPr>
      <w:r>
        <w:rPr>
          <w:rFonts w:eastAsiaTheme="minorEastAsia"/>
        </w:rPr>
        <w:t xml:space="preserve">NVIDIA (NVDA) </w:t>
      </w:r>
      <w:r w:rsidR="00064EAF">
        <w:rPr>
          <w:rFonts w:eastAsiaTheme="minorEastAsia"/>
        </w:rPr>
        <w:t xml:space="preserve">will have an expected monthly return of </w:t>
      </w:r>
      <w:r w:rsidR="00EB604E">
        <w:rPr>
          <w:rFonts w:eastAsiaTheme="minorEastAsia"/>
        </w:rPr>
        <w:t>2.5</w:t>
      </w:r>
      <w:r w:rsidR="00064EAF">
        <w:rPr>
          <w:rFonts w:eastAsiaTheme="minorEastAsia"/>
        </w:rPr>
        <w:t>%. This is in part due to their significant growth in market cap, and their heavy investment(s) in AI, which I hold an optimistic view on.</w:t>
      </w:r>
    </w:p>
    <w:p w14:paraId="090FB004" w14:textId="7DC11E22" w:rsidR="00064EAF" w:rsidRDefault="00AA4026" w:rsidP="002A5015">
      <w:pPr>
        <w:pStyle w:val="ListParagraph"/>
        <w:numPr>
          <w:ilvl w:val="0"/>
          <w:numId w:val="1"/>
        </w:numPr>
        <w:rPr>
          <w:rFonts w:eastAsiaTheme="minorEastAsia"/>
        </w:rPr>
      </w:pPr>
      <w:r>
        <w:rPr>
          <w:rFonts w:eastAsiaTheme="minorEastAsia"/>
        </w:rPr>
        <w:t xml:space="preserve">LOCKHEED MARTIN (LMT) will out-do </w:t>
      </w:r>
      <w:r w:rsidR="00DE797A">
        <w:rPr>
          <w:rFonts w:eastAsiaTheme="minorEastAsia"/>
        </w:rPr>
        <w:t xml:space="preserve">MICROSOFT (MSFT) by </w:t>
      </w:r>
      <w:r w:rsidR="00EB604E">
        <w:rPr>
          <w:rFonts w:eastAsiaTheme="minorEastAsia"/>
        </w:rPr>
        <w:t>1.0</w:t>
      </w:r>
      <w:r w:rsidR="00DE797A">
        <w:rPr>
          <w:rFonts w:eastAsiaTheme="minorEastAsia"/>
        </w:rPr>
        <w:t xml:space="preserve">%. With defense expenditure set to increase in the forthcoming years, I expect </w:t>
      </w:r>
      <w:r w:rsidR="0019071A">
        <w:rPr>
          <w:rFonts w:eastAsiaTheme="minorEastAsia"/>
        </w:rPr>
        <w:t>Lockheed to win significant contracts. Microsoft, on the other hand,</w:t>
      </w:r>
      <w:r w:rsidR="00BA6041">
        <w:rPr>
          <w:rFonts w:eastAsiaTheme="minorEastAsia"/>
        </w:rPr>
        <w:t xml:space="preserve"> has announced, as of July </w:t>
      </w:r>
      <w:r w:rsidR="00977AF3">
        <w:rPr>
          <w:rFonts w:eastAsiaTheme="minorEastAsia"/>
        </w:rPr>
        <w:t>6</w:t>
      </w:r>
      <w:r w:rsidR="00977AF3" w:rsidRPr="00977AF3">
        <w:rPr>
          <w:rFonts w:eastAsiaTheme="minorEastAsia"/>
          <w:vertAlign w:val="superscript"/>
        </w:rPr>
        <w:t>th</w:t>
      </w:r>
      <w:r w:rsidR="00450BF2">
        <w:rPr>
          <w:rFonts w:eastAsiaTheme="minorEastAsia"/>
        </w:rPr>
        <w:t>, 2026</w:t>
      </w:r>
      <w:r w:rsidR="00977AF3">
        <w:rPr>
          <w:rFonts w:eastAsiaTheme="minorEastAsia"/>
        </w:rPr>
        <w:t xml:space="preserve">, </w:t>
      </w:r>
      <w:r w:rsidR="00C27925">
        <w:rPr>
          <w:rFonts w:eastAsiaTheme="minorEastAsia"/>
        </w:rPr>
        <w:t xml:space="preserve">a mass layoff of </w:t>
      </w:r>
      <w:r w:rsidR="00977AF3">
        <w:rPr>
          <w:rFonts w:eastAsiaTheme="minorEastAsia"/>
        </w:rPr>
        <w:t>over 2% of its workforce</w:t>
      </w:r>
      <w:r w:rsidR="00C27925">
        <w:rPr>
          <w:rFonts w:eastAsiaTheme="minorEastAsia"/>
        </w:rPr>
        <w:t xml:space="preserve"> (primarily in the XBOX department)</w:t>
      </w:r>
      <w:r w:rsidR="00450BF2">
        <w:rPr>
          <w:rFonts w:eastAsiaTheme="minorEastAsia"/>
        </w:rPr>
        <w:t xml:space="preserve"> (</w:t>
      </w:r>
      <w:hyperlink r:id="rId9" w:history="1">
        <w:r w:rsidR="00450BF2" w:rsidRPr="00850908">
          <w:rPr>
            <w:rStyle w:val="Hyperlink"/>
            <w:rFonts w:eastAsiaTheme="minorEastAsia"/>
          </w:rPr>
          <w:t>https://abcnews.com/Business/microsoft-laying-off-4800-workers-ai-changing-work/story?id=134518435</w:t>
        </w:r>
      </w:hyperlink>
      <w:r w:rsidR="00450BF2">
        <w:rPr>
          <w:rFonts w:eastAsiaTheme="minorEastAsia"/>
        </w:rPr>
        <w:t xml:space="preserve">). </w:t>
      </w:r>
      <w:r w:rsidR="00C27925">
        <w:rPr>
          <w:rFonts w:eastAsiaTheme="minorEastAsia"/>
        </w:rPr>
        <w:t xml:space="preserve"> However, I do not expect Microsoft</w:t>
      </w:r>
      <w:r w:rsidR="000B7778">
        <w:rPr>
          <w:rFonts w:eastAsiaTheme="minorEastAsia"/>
        </w:rPr>
        <w:t xml:space="preserve">’s stock to fall, given how commonplace its Microsoft Office </w:t>
      </w:r>
      <w:r w:rsidR="000B7778">
        <w:rPr>
          <w:rFonts w:eastAsiaTheme="minorEastAsia"/>
        </w:rPr>
        <w:lastRenderedPageBreak/>
        <w:t xml:space="preserve">applications are in the workplace, as well as a resurgence of XBOX </w:t>
      </w:r>
      <w:r w:rsidR="00DD36F1">
        <w:rPr>
          <w:rFonts w:eastAsiaTheme="minorEastAsia"/>
        </w:rPr>
        <w:t>following the new CEO’s arrival</w:t>
      </w:r>
      <w:r w:rsidR="00450BF2">
        <w:rPr>
          <w:rFonts w:eastAsiaTheme="minorEastAsia"/>
        </w:rPr>
        <w:t>, Asha Sharma.</w:t>
      </w:r>
    </w:p>
    <w:p w14:paraId="6539786B" w14:textId="683ED2DF" w:rsidR="00450BF2" w:rsidRDefault="00265F2A" w:rsidP="002A5015">
      <w:pPr>
        <w:pStyle w:val="ListParagraph"/>
        <w:numPr>
          <w:ilvl w:val="0"/>
          <w:numId w:val="1"/>
        </w:numPr>
        <w:rPr>
          <w:rFonts w:eastAsiaTheme="minorEastAsia"/>
        </w:rPr>
      </w:pPr>
      <w:r>
        <w:rPr>
          <w:rFonts w:eastAsiaTheme="minorEastAsia"/>
        </w:rPr>
        <w:t xml:space="preserve">TE CONNECTIVITY (TEL) </w:t>
      </w:r>
      <w:r w:rsidR="009056F4">
        <w:rPr>
          <w:rFonts w:eastAsiaTheme="minorEastAsia"/>
        </w:rPr>
        <w:t xml:space="preserve">will </w:t>
      </w:r>
      <w:r w:rsidR="005C7B4C">
        <w:rPr>
          <w:rFonts w:eastAsiaTheme="minorEastAsia"/>
        </w:rPr>
        <w:t>outdo MICRON (MU) by 0.5%</w:t>
      </w:r>
      <w:r w:rsidR="00182746">
        <w:rPr>
          <w:rFonts w:eastAsiaTheme="minorEastAsia"/>
        </w:rPr>
        <w:t xml:space="preserve">. TEL </w:t>
      </w:r>
      <w:r w:rsidR="00ED342F">
        <w:rPr>
          <w:rFonts w:eastAsiaTheme="minorEastAsia"/>
        </w:rPr>
        <w:t>will continue to grow, given its importance in the HVAC industry, where its products are commonly used. HVAC</w:t>
      </w:r>
      <w:r w:rsidR="00767774">
        <w:rPr>
          <w:rFonts w:eastAsiaTheme="minorEastAsia"/>
        </w:rPr>
        <w:t xml:space="preserve"> will continue to grow, with the increased need for efficiency and </w:t>
      </w:r>
      <w:r w:rsidR="004315F7">
        <w:rPr>
          <w:rFonts w:eastAsiaTheme="minorEastAsia"/>
        </w:rPr>
        <w:t>electronic components</w:t>
      </w:r>
      <w:r w:rsidR="00245946">
        <w:rPr>
          <w:rFonts w:eastAsiaTheme="minorEastAsia"/>
        </w:rPr>
        <w:t>. Moreover, with a rise in AI data centres, it is imperative that HVAC systems boast a high efficiency to save energy, something that TEL can provide.</w:t>
      </w:r>
      <w:r w:rsidR="005C7B4C">
        <w:rPr>
          <w:rFonts w:eastAsiaTheme="minorEastAsia"/>
        </w:rPr>
        <w:t xml:space="preserve"> (need to add MU)</w:t>
      </w:r>
    </w:p>
    <w:p w14:paraId="5661FE3A" w14:textId="5327F29B" w:rsidR="00245946" w:rsidRPr="002A5015" w:rsidRDefault="00251431" w:rsidP="002A5015">
      <w:pPr>
        <w:pStyle w:val="ListParagraph"/>
        <w:numPr>
          <w:ilvl w:val="0"/>
          <w:numId w:val="1"/>
        </w:numPr>
        <w:rPr>
          <w:rFonts w:eastAsiaTheme="minorEastAsia"/>
        </w:rPr>
      </w:pPr>
      <w:r>
        <w:rPr>
          <w:rFonts w:eastAsiaTheme="minorEastAsia"/>
        </w:rPr>
        <w:t>MARVELL (MRVL)</w:t>
      </w:r>
      <w:r w:rsidR="00A57C4F">
        <w:rPr>
          <w:rFonts w:eastAsiaTheme="minorEastAsia"/>
        </w:rPr>
        <w:t xml:space="preserve"> will have an expected monthly return of </w:t>
      </w:r>
      <w:r w:rsidR="00EB604E">
        <w:rPr>
          <w:rFonts w:eastAsiaTheme="minorEastAsia"/>
        </w:rPr>
        <w:t>1</w:t>
      </w:r>
      <w:r w:rsidR="00A57C4F">
        <w:rPr>
          <w:rFonts w:eastAsiaTheme="minorEastAsia"/>
        </w:rPr>
        <w:t>.5%</w:t>
      </w:r>
      <w:r w:rsidR="00987416">
        <w:rPr>
          <w:rFonts w:eastAsiaTheme="minorEastAsia"/>
        </w:rPr>
        <w:t xml:space="preserve">. </w:t>
      </w:r>
      <w:r w:rsidR="00767A6A">
        <w:rPr>
          <w:rFonts w:eastAsiaTheme="minorEastAsia"/>
        </w:rPr>
        <w:t xml:space="preserve">Jensen Huang (NVIDIA’s CEO) has predicted MARVELL to become a trillion-dollar company in the near future. </w:t>
      </w:r>
      <w:r w:rsidR="00D04DEA">
        <w:rPr>
          <w:rFonts w:eastAsiaTheme="minorEastAsia"/>
        </w:rPr>
        <w:t>While the stock rose rapidly due to NVIDIA’s investment, the growth of the semiconductor industry, coupled with the rapid rise of AI, gives MRVL a good chance for its stock price (and market cap) to undergo a steady and significant rise in the future.</w:t>
      </w:r>
    </w:p>
    <w:p w14:paraId="3E095408" w14:textId="77777777" w:rsidR="00CE29E8" w:rsidRPr="00CE29E8" w:rsidRDefault="00CE29E8" w:rsidP="005A7722">
      <w:pPr>
        <w:rPr>
          <w:rFonts w:eastAsiaTheme="minorEastAsia"/>
        </w:rPr>
      </w:pPr>
    </w:p>
    <w:p w14:paraId="371BA5E0" w14:textId="77777777" w:rsidR="00E46618" w:rsidRDefault="00E46618" w:rsidP="00E62EAA"/>
    <w:p w14:paraId="6F43103E" w14:textId="77777777" w:rsidR="002C6E1B" w:rsidRDefault="002C6E1B" w:rsidP="002C6E1B">
      <w:pPr>
        <w:ind w:left="360"/>
      </w:pPr>
    </w:p>
    <w:sectPr w:rsidR="002C6E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64EAF"/>
    <w:rsid w:val="0008234D"/>
    <w:rsid w:val="00097AAE"/>
    <w:rsid w:val="000A14D3"/>
    <w:rsid w:val="000B7778"/>
    <w:rsid w:val="000D54D2"/>
    <w:rsid w:val="001317A5"/>
    <w:rsid w:val="00150AF4"/>
    <w:rsid w:val="00177512"/>
    <w:rsid w:val="00182746"/>
    <w:rsid w:val="0019071A"/>
    <w:rsid w:val="00213C9F"/>
    <w:rsid w:val="00237B63"/>
    <w:rsid w:val="00245946"/>
    <w:rsid w:val="00251431"/>
    <w:rsid w:val="00265815"/>
    <w:rsid w:val="00265F2A"/>
    <w:rsid w:val="00282D4C"/>
    <w:rsid w:val="002863B7"/>
    <w:rsid w:val="002A35E1"/>
    <w:rsid w:val="002A5015"/>
    <w:rsid w:val="002C6E1B"/>
    <w:rsid w:val="002D08ED"/>
    <w:rsid w:val="003267AF"/>
    <w:rsid w:val="00343DF1"/>
    <w:rsid w:val="00360346"/>
    <w:rsid w:val="0039354E"/>
    <w:rsid w:val="003C68C7"/>
    <w:rsid w:val="003C6C02"/>
    <w:rsid w:val="004169A3"/>
    <w:rsid w:val="004224B3"/>
    <w:rsid w:val="004315F7"/>
    <w:rsid w:val="00450BF2"/>
    <w:rsid w:val="00482E4A"/>
    <w:rsid w:val="0050606D"/>
    <w:rsid w:val="00537551"/>
    <w:rsid w:val="0054629D"/>
    <w:rsid w:val="00575DEC"/>
    <w:rsid w:val="005A7722"/>
    <w:rsid w:val="005C7B4C"/>
    <w:rsid w:val="00626245"/>
    <w:rsid w:val="006606D7"/>
    <w:rsid w:val="0068017C"/>
    <w:rsid w:val="006A76D3"/>
    <w:rsid w:val="006D202C"/>
    <w:rsid w:val="006D5D85"/>
    <w:rsid w:val="00701DB0"/>
    <w:rsid w:val="00707367"/>
    <w:rsid w:val="0075446E"/>
    <w:rsid w:val="00767774"/>
    <w:rsid w:val="00767A6A"/>
    <w:rsid w:val="00793D0F"/>
    <w:rsid w:val="007D44BF"/>
    <w:rsid w:val="007D4745"/>
    <w:rsid w:val="008040CC"/>
    <w:rsid w:val="008118B2"/>
    <w:rsid w:val="008771E9"/>
    <w:rsid w:val="008B45B0"/>
    <w:rsid w:val="008C4D20"/>
    <w:rsid w:val="009056F4"/>
    <w:rsid w:val="00923117"/>
    <w:rsid w:val="009408D4"/>
    <w:rsid w:val="00953138"/>
    <w:rsid w:val="00977AF3"/>
    <w:rsid w:val="00987416"/>
    <w:rsid w:val="009E640E"/>
    <w:rsid w:val="00A1288F"/>
    <w:rsid w:val="00A57C4F"/>
    <w:rsid w:val="00A77ED6"/>
    <w:rsid w:val="00AA4026"/>
    <w:rsid w:val="00AB1E87"/>
    <w:rsid w:val="00AF09D5"/>
    <w:rsid w:val="00B51A81"/>
    <w:rsid w:val="00B920D2"/>
    <w:rsid w:val="00BA6041"/>
    <w:rsid w:val="00C13F92"/>
    <w:rsid w:val="00C20CFA"/>
    <w:rsid w:val="00C257DB"/>
    <w:rsid w:val="00C27925"/>
    <w:rsid w:val="00C27BD9"/>
    <w:rsid w:val="00C40F01"/>
    <w:rsid w:val="00C7728C"/>
    <w:rsid w:val="00C80409"/>
    <w:rsid w:val="00CA3986"/>
    <w:rsid w:val="00CE29E8"/>
    <w:rsid w:val="00CF17BA"/>
    <w:rsid w:val="00CF78ED"/>
    <w:rsid w:val="00D04DEA"/>
    <w:rsid w:val="00D1039D"/>
    <w:rsid w:val="00D467A9"/>
    <w:rsid w:val="00DD36F1"/>
    <w:rsid w:val="00DE797A"/>
    <w:rsid w:val="00E24419"/>
    <w:rsid w:val="00E46618"/>
    <w:rsid w:val="00E60CCB"/>
    <w:rsid w:val="00E62EAA"/>
    <w:rsid w:val="00EA7AB5"/>
    <w:rsid w:val="00EB604E"/>
    <w:rsid w:val="00EC5E52"/>
    <w:rsid w:val="00ED342F"/>
    <w:rsid w:val="00F30D87"/>
    <w:rsid w:val="00F44A05"/>
    <w:rsid w:val="00F8581D"/>
    <w:rsid w:val="00FA513B"/>
    <w:rsid w:val="00FC4A74"/>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semiHidden/>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d.stlouisfed.org/series/DGS3MO" TargetMode="External"/><Relationship Id="rId3" Type="http://schemas.openxmlformats.org/officeDocument/2006/relationships/settings" Target="settings.xml"/><Relationship Id="rId7" Type="http://schemas.openxmlformats.org/officeDocument/2006/relationships/hyperlink" Target="https://people.duke.edu/~charvey/Teaching/BA453_2006/Idzorek_onBL.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tista.com/statistics/262742/countries-with-the-highest-military-spending/" TargetMode="External"/><Relationship Id="rId11" Type="http://schemas.openxmlformats.org/officeDocument/2006/relationships/theme" Target="theme/theme1.xml"/><Relationship Id="rId5" Type="http://schemas.openxmlformats.org/officeDocument/2006/relationships/hyperlink" Target="https://www.nato.int/en/what-we-do/introduction-to-nato/defence-expenditures-and-natos-5-commitmen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bcnews.com/Business/microsoft-laying-off-4800-workers-ai-changing-work/story?id=13451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701</TotalTime>
  <Pages>3</Pages>
  <Words>1010</Words>
  <Characters>5762</Characters>
  <Application>Microsoft Office Word</Application>
  <DocSecurity>0</DocSecurity>
  <Lines>48</Lines>
  <Paragraphs>13</Paragraphs>
  <ScaleCrop>false</ScaleCrop>
  <Company/>
  <LinksUpToDate>false</LinksUpToDate>
  <CharactersWithSpaces>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99</cp:revision>
  <dcterms:created xsi:type="dcterms:W3CDTF">2026-06-30T17:29:00Z</dcterms:created>
  <dcterms:modified xsi:type="dcterms:W3CDTF">2026-07-07T16:20:00Z</dcterms:modified>
</cp:coreProperties>
</file>