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BD10" w14:textId="553A6C38" w:rsidR="00F8581D" w:rsidRDefault="006D5D85">
      <w:r>
        <w:t>Multi-Asset Risk Dashboard and Portfolio:</w:t>
      </w:r>
    </w:p>
    <w:p w14:paraId="18936045" w14:textId="7BFFB23C" w:rsidR="00213C9F" w:rsidRDefault="00AB1E87">
      <w:r>
        <w:t>I have chosen 24 assets across 6 sectors which I feel will define th</w:t>
      </w:r>
      <w:r w:rsidR="00CA3986">
        <w:t>e (global) economy</w:t>
      </w:r>
      <w:r w:rsidR="009408D4">
        <w:t xml:space="preserve"> in the next twenty years. </w:t>
      </w:r>
      <w:r w:rsidR="00C27BD9">
        <w:t xml:space="preserve">With the rise of AI </w:t>
      </w:r>
      <w:r w:rsidR="000A14D3">
        <w:t xml:space="preserve">since the beginning of the decade, a multitude of big tech companies have invested </w:t>
      </w:r>
      <w:r w:rsidR="00213C9F">
        <w:t>billions in AI technology. While not all investments are a guaranteed success, some end up exceeding expectations.</w:t>
      </w:r>
    </w:p>
    <w:p w14:paraId="074188AE" w14:textId="2129953C" w:rsidR="002C6E1B" w:rsidRDefault="0050606D">
      <w:r>
        <w:t>Moreover, to combat rising costs for customers, it is imperative that the semiconductor business booms. Companies such as NVIDIA and MICRON are expected to grow in the next few years.</w:t>
      </w:r>
      <w:r w:rsidR="000D54D2">
        <w:t xml:space="preserve"> This industry, given the </w:t>
      </w:r>
      <w:r w:rsidR="00626245">
        <w:t>advancement of technology in various fields, is expected to become more essential, possibly be the leading driver of the economy in the future.</w:t>
      </w:r>
      <w:r w:rsidR="00282D4C">
        <w:t xml:space="preserve"> </w:t>
      </w:r>
      <w:r w:rsidR="00707367">
        <w:t xml:space="preserve">Obviously, with AI being utilized in nearly every sector, data centres would be a necessity. Therefore, the data centre sector would see </w:t>
      </w:r>
      <w:r w:rsidR="00FE7F3A">
        <w:t xml:space="preserve">a boom as well. </w:t>
      </w:r>
    </w:p>
    <w:p w14:paraId="146C5C02" w14:textId="6088EBB8" w:rsidR="00282D4C" w:rsidRDefault="00282D4C">
      <w:r>
        <w:t>The final of the six sectors chosen was Defen</w:t>
      </w:r>
      <w:r w:rsidR="00F44A05">
        <w:t>s</w:t>
      </w:r>
      <w:r>
        <w:t xml:space="preserve">e. While it may seem odd given the </w:t>
      </w:r>
      <w:r w:rsidR="00E60CCB">
        <w:t xml:space="preserve">other sectors chosen for this portfolio, </w:t>
      </w:r>
      <w:r w:rsidR="008118B2">
        <w:t xml:space="preserve">this sector was considered as my sixth and final one for a few reasons. The United States has </w:t>
      </w:r>
      <w:r w:rsidR="00537551">
        <w:t>advocated for</w:t>
      </w:r>
      <w:r w:rsidR="008118B2">
        <w:t xml:space="preserve"> NATO </w:t>
      </w:r>
      <w:r w:rsidR="00F44A05">
        <w:t>parties to spend at least 5% of their GDP on Defense/Military</w:t>
      </w:r>
      <w:r w:rsidR="00537551">
        <w:t xml:space="preserve"> (</w:t>
      </w:r>
      <w:hyperlink r:id="rId5" w:history="1">
        <w:r w:rsidR="00537551" w:rsidRPr="00F823D3">
          <w:rPr>
            <w:rStyle w:val="Hyperlink"/>
          </w:rPr>
          <w:t>https://www.nato.int/en/what-we-do/introduction-to-nato/defence-expenditures-and-natos-5-commitment</w:t>
        </w:r>
      </w:hyperlink>
      <w:r w:rsidR="00537551">
        <w:t xml:space="preserve">). </w:t>
      </w:r>
      <w:r w:rsidR="00793D0F">
        <w:t>USA, in general, spend nearly $1 trillion on their military (</w:t>
      </w:r>
      <w:hyperlink r:id="rId6" w:history="1">
        <w:r w:rsidR="00793D0F" w:rsidRPr="00F823D3">
          <w:rPr>
            <w:rStyle w:val="Hyperlink"/>
          </w:rPr>
          <w:t>https://www.statista.com/statistics/262742/countries-with-the-highest-military-spending/</w:t>
        </w:r>
      </w:hyperlink>
      <w:r w:rsidR="00793D0F">
        <w:t xml:space="preserve">), and with a new generation of </w:t>
      </w:r>
      <w:r w:rsidR="00482E4A">
        <w:t xml:space="preserve">jet fighters on the horizon, it would be probable to assume the </w:t>
      </w:r>
      <w:r w:rsidR="003C6C02">
        <w:t>rise in the market value of military/defense-based stocks</w:t>
      </w:r>
      <w:r w:rsidR="0039354E">
        <w:t>, with some of them becoming Mega-Cap (more than $200 billion).</w:t>
      </w:r>
    </w:p>
    <w:p w14:paraId="74D79F74" w14:textId="534EE321" w:rsidR="0068017C" w:rsidRDefault="00FE7F3A">
      <w:r>
        <w:t xml:space="preserve">However, this is nothing but a mere estimation of where the market would head. </w:t>
      </w:r>
      <w:r w:rsidR="0068017C">
        <w:t>The following assumptions are put in place for the risk dashboard and portfolio of these asset</w:t>
      </w:r>
      <w:r w:rsidR="002A35E1">
        <w:t>s:</w:t>
      </w:r>
    </w:p>
    <w:p w14:paraId="32E8F06E" w14:textId="6A4A4CEC" w:rsidR="002A35E1" w:rsidRDefault="002A35E1" w:rsidP="002A35E1">
      <w:pPr>
        <w:pStyle w:val="ListParagraph"/>
        <w:numPr>
          <w:ilvl w:val="0"/>
          <w:numId w:val="1"/>
        </w:numPr>
      </w:pPr>
      <w:r>
        <w:t>The AI bubble does not burst</w:t>
      </w:r>
      <w:r w:rsidR="003267AF">
        <w:t xml:space="preserve">, but instead </w:t>
      </w:r>
      <w:r w:rsidR="00265815">
        <w:t>the AI hype decreases as it becomes integrated with daily life.</w:t>
      </w:r>
      <w:r w:rsidR="00FA513B">
        <w:t xml:space="preserve"> A slow progression and advancement of AI continues into the future, with governmental </w:t>
      </w:r>
      <w:r w:rsidR="00A77ED6">
        <w:t xml:space="preserve">restrictions to ensure that the job market is stable and it benefits the working </w:t>
      </w:r>
      <w:r w:rsidR="00D467A9">
        <w:t>population and</w:t>
      </w:r>
      <w:r w:rsidR="00A77ED6">
        <w:t xml:space="preserve"> not hinder them.</w:t>
      </w:r>
    </w:p>
    <w:p w14:paraId="2962DF26" w14:textId="7E13D36A" w:rsidR="003C68C7" w:rsidRDefault="00D467A9" w:rsidP="00360346">
      <w:pPr>
        <w:pStyle w:val="ListParagraph"/>
        <w:numPr>
          <w:ilvl w:val="0"/>
          <w:numId w:val="1"/>
        </w:numPr>
      </w:pPr>
      <w:r>
        <w:t xml:space="preserve">The geopolitical situation remains stable. </w:t>
      </w:r>
      <w:r w:rsidR="00EC5E52">
        <w:t xml:space="preserve">At the time of creating this, there are several conflicts happening across the world, particularly one in the Middle East which had tanked stocks and nearly doubled the price of Brent and Oil. </w:t>
      </w:r>
      <w:r w:rsidR="00360346">
        <w:t xml:space="preserve">It is known that </w:t>
      </w:r>
      <w:r w:rsidR="00D1039D">
        <w:t>geopolitical conflicts and potential regional wars could hinder the economy, and therefore, to ensure simplicity, I have assumed the stability</w:t>
      </w:r>
      <w:r w:rsidR="008040CC">
        <w:t xml:space="preserve"> of the geopolitical situation (as in, it would be around the same </w:t>
      </w:r>
      <w:r w:rsidR="006D202C">
        <w:t>(with fluctuations slightly better or worse)</w:t>
      </w:r>
      <w:r w:rsidR="008040CC">
        <w:t xml:space="preserve"> compared to the current time).</w:t>
      </w:r>
    </w:p>
    <w:p w14:paraId="4927D2B1" w14:textId="20770EE0" w:rsidR="008040CC" w:rsidRDefault="00177512" w:rsidP="00360346">
      <w:pPr>
        <w:pStyle w:val="ListParagraph"/>
        <w:numPr>
          <w:ilvl w:val="0"/>
          <w:numId w:val="1"/>
        </w:numPr>
      </w:pPr>
      <w:r>
        <w:t>The tariff situation does not spiral under control. Under Donald Trump, tariffs were imposed on nearly every country, particularly Canada and China, with</w:t>
      </w:r>
      <w:r w:rsidR="006606D7">
        <w:t xml:space="preserve"> his reasons surrounding leveraging economic policies, and protecting U.S. </w:t>
      </w:r>
      <w:r w:rsidR="006606D7">
        <w:lastRenderedPageBreak/>
        <w:t xml:space="preserve">industry/trade. However, the opposite has happened, with the job market not showing signs of improvement, and wealth inequality worsening. </w:t>
      </w:r>
      <w:r w:rsidR="00701DB0">
        <w:t xml:space="preserve">With Trump’s term to end by January 2029, it remains in the balance as to whether the next president (Democrat or Republican) will reverse or reduce these </w:t>
      </w:r>
      <w:r w:rsidR="0075446E">
        <w:t>tariffs and</w:t>
      </w:r>
      <w:r w:rsidR="00701DB0">
        <w:t xml:space="preserve"> be more open to global trade.</w:t>
      </w:r>
      <w:r w:rsidR="00575DEC">
        <w:t xml:space="preserve"> </w:t>
      </w:r>
    </w:p>
    <w:p w14:paraId="5402ADC3" w14:textId="1D42BAAD" w:rsidR="00E62EAA" w:rsidRDefault="00E62EAA" w:rsidP="00E62EAA">
      <w:r>
        <w:t>I have considered three different portfolios to compare: Risk Parity, Equal-Weight, and Black-Litterman.</w:t>
      </w:r>
      <w:r w:rsidR="006A76D3">
        <w:t xml:space="preserve"> The risk parity ensures equal risk (volatility) for each of the 24 assets, and the </w:t>
      </w:r>
      <w:r w:rsidR="00E46618">
        <w:t>equal weight portfolio ensures equal weightage (4.167%) for each asset.</w:t>
      </w:r>
    </w:p>
    <w:p w14:paraId="03C2CC38" w14:textId="77777777" w:rsidR="00343DF1" w:rsidRDefault="00343DF1" w:rsidP="00E62EAA"/>
    <w:p w14:paraId="0B29F856" w14:textId="0E1D9AB4" w:rsidR="00343DF1" w:rsidRDefault="00343DF1" w:rsidP="00343DF1">
      <w:pPr>
        <w:pStyle w:val="Heading2"/>
      </w:pPr>
      <w:r>
        <w:t>Black-Litterman Model</w:t>
      </w:r>
    </w:p>
    <w:p w14:paraId="4CCF7937" w14:textId="77777777" w:rsidR="00C20CFA" w:rsidRDefault="00A1288F" w:rsidP="00E62EAA">
      <w:r>
        <w:t xml:space="preserve">The first portfolio that was </w:t>
      </w:r>
      <w:r w:rsidR="004169A3">
        <w:t>developed and optimized was the Black-Litterman portfolio.</w:t>
      </w:r>
    </w:p>
    <w:p w14:paraId="0DCF3746" w14:textId="1F70A486" w:rsidR="008771E9" w:rsidRDefault="00C20CFA" w:rsidP="00E62EAA">
      <w:r>
        <w:t>The first step in this model is to do a reverse optimization</w:t>
      </w:r>
      <w:r w:rsidR="008771E9">
        <w:t>, which allows to derive equilibrium returns, based off this formula (</w:t>
      </w:r>
      <w:hyperlink r:id="rId7" w:history="1">
        <w:r w:rsidR="008771E9" w:rsidRPr="008742E8">
          <w:rPr>
            <w:rStyle w:val="Hyperlink"/>
          </w:rPr>
          <w:t>https://people.duke.edu/~charvey/Teaching/BA453_2006/Idzorek_onBL.pdf</w:t>
        </w:r>
      </w:hyperlink>
      <w:r w:rsidR="008771E9">
        <w:t>)</w:t>
      </w:r>
    </w:p>
    <w:p w14:paraId="237AAEDA" w14:textId="4BFE52DF" w:rsidR="00A1288F" w:rsidRPr="005A7722" w:rsidRDefault="00E24419" w:rsidP="005A7722">
      <w:pPr>
        <w:jc w:val="center"/>
        <w:rPr>
          <w:rFonts w:eastAsiaTheme="minorEastAsia"/>
        </w:rPr>
      </w:pPr>
      <m:oMathPara>
        <m:oMath>
          <m:r>
            <w:rPr>
              <w:rFonts w:ascii="Cambria Math" w:hAnsi="Cambria Math"/>
            </w:rPr>
            <m:t>Π=</m:t>
          </m:r>
          <m:r>
            <w:rPr>
              <w:rFonts w:ascii="Cambria Math" w:hAnsi="Cambria Math"/>
            </w:rPr>
            <m:t>λΣ</m:t>
          </m:r>
          <m:sSub>
            <m:sSubPr>
              <m:ctrlPr>
                <w:rPr>
                  <w:rFonts w:ascii="Cambria Math" w:hAnsi="Cambria Math"/>
                  <w:i/>
                </w:rPr>
              </m:ctrlPr>
            </m:sSubPr>
            <m:e>
              <m:r>
                <w:rPr>
                  <w:rFonts w:ascii="Cambria Math" w:hAnsi="Cambria Math"/>
                </w:rPr>
                <m:t>w</m:t>
              </m:r>
            </m:e>
            <m:sub>
              <m:r>
                <w:rPr>
                  <w:rFonts w:ascii="Cambria Math" w:hAnsi="Cambria Math"/>
                </w:rPr>
                <m:t>mkt</m:t>
              </m:r>
            </m:sub>
          </m:sSub>
        </m:oMath>
      </m:oMathPara>
    </w:p>
    <w:p w14:paraId="74AB8462" w14:textId="00930756" w:rsidR="005A7722" w:rsidRDefault="005A7722" w:rsidP="005A7722">
      <w:pPr>
        <w:rPr>
          <w:rFonts w:eastAsiaTheme="minorEastAsia"/>
        </w:rPr>
      </w:pPr>
      <w:r>
        <w:rPr>
          <w:rFonts w:eastAsiaTheme="minorEastAsia"/>
        </w:rPr>
        <w:t xml:space="preserve">Where </w:t>
      </w:r>
      <w:r w:rsidR="00CE29E8">
        <w:rPr>
          <w:rFonts w:eastAsiaTheme="minorEastAsia"/>
        </w:rPr>
        <w:t>Π =</w:t>
      </w:r>
      <w:r>
        <w:rPr>
          <w:rFonts w:eastAsiaTheme="minorEastAsia"/>
        </w:rPr>
        <w:t xml:space="preserve"> implied excess equilibrium return vector, </w:t>
      </w:r>
      <w:r w:rsidR="004224B3">
        <w:rPr>
          <w:rFonts w:eastAsiaTheme="minorEastAsia"/>
        </w:rPr>
        <w:t xml:space="preserve">λ = </w:t>
      </w:r>
      <w:r w:rsidR="00CE29E8">
        <w:rPr>
          <w:rFonts w:eastAsiaTheme="minorEastAsia"/>
        </w:rPr>
        <w:t>risk aversion coefficient, Σ = covariance matrix of excess returns, and w</w:t>
      </w:r>
      <w:r w:rsidR="00CE29E8">
        <w:rPr>
          <w:rFonts w:eastAsiaTheme="minorEastAsia"/>
          <w:vertAlign w:val="subscript"/>
        </w:rPr>
        <w:t>mkt</w:t>
      </w:r>
      <w:r w:rsidR="00CE29E8">
        <w:rPr>
          <w:rFonts w:eastAsiaTheme="minorEastAsia"/>
        </w:rPr>
        <w:t xml:space="preserve"> = market capitalization weight of the assets.</w:t>
      </w:r>
    </w:p>
    <w:p w14:paraId="6ED46A96" w14:textId="2587100D" w:rsidR="00B51A81" w:rsidRDefault="00B51A81" w:rsidP="005A7722">
      <w:pPr>
        <w:rPr>
          <w:rFonts w:eastAsiaTheme="minorEastAsia"/>
        </w:rPr>
      </w:pPr>
      <w:r>
        <w:rPr>
          <w:rFonts w:eastAsiaTheme="minorEastAsia"/>
        </w:rPr>
        <w:t>Π and Σ will vary with each rolling period, but w</w:t>
      </w:r>
      <w:r>
        <w:rPr>
          <w:rFonts w:eastAsiaTheme="minorEastAsia"/>
          <w:vertAlign w:val="subscript"/>
        </w:rPr>
        <w:t>mkt</w:t>
      </w:r>
      <w:r>
        <w:rPr>
          <w:rFonts w:eastAsiaTheme="minorEastAsia"/>
        </w:rPr>
        <w:t xml:space="preserve"> remains constant (which is calculated based off each asset’s market capitalization).</w:t>
      </w:r>
    </w:p>
    <w:p w14:paraId="3EF3DA01" w14:textId="7BA3B861" w:rsidR="00B51A81" w:rsidRPr="00B51A81" w:rsidRDefault="00B51A81" w:rsidP="005A7722">
      <w:pPr>
        <w:rPr>
          <w:rFonts w:eastAsiaTheme="minorEastAsia"/>
        </w:rPr>
      </w:pPr>
      <w:r>
        <w:rPr>
          <w:rFonts w:eastAsiaTheme="minorEastAsia"/>
        </w:rPr>
        <w:t>For the risk aversion coefficient (</w:t>
      </w:r>
      <w:r w:rsidR="002863B7">
        <w:rPr>
          <w:rFonts w:eastAsiaTheme="minorEastAsia"/>
        </w:rPr>
        <w:t xml:space="preserve">λ), I have decided against assuming </w:t>
      </w:r>
      <w:r w:rsidR="00B920D2">
        <w:rPr>
          <w:rFonts w:eastAsiaTheme="minorEastAsia"/>
        </w:rPr>
        <w:t xml:space="preserve">a value depending on the aggressiveness (or risk tolerance) of the portfolio, and instead, calculate it based </w:t>
      </w:r>
    </w:p>
    <w:p w14:paraId="3E095408" w14:textId="77777777" w:rsidR="00CE29E8" w:rsidRPr="00CE29E8" w:rsidRDefault="00CE29E8" w:rsidP="005A7722">
      <w:pPr>
        <w:rPr>
          <w:rFonts w:eastAsiaTheme="minorEastAsia"/>
        </w:rPr>
      </w:pPr>
    </w:p>
    <w:p w14:paraId="371BA5E0" w14:textId="77777777" w:rsidR="00E46618" w:rsidRDefault="00E46618" w:rsidP="00E62EAA"/>
    <w:p w14:paraId="6F43103E" w14:textId="77777777" w:rsidR="002C6E1B" w:rsidRDefault="002C6E1B" w:rsidP="002C6E1B">
      <w:pPr>
        <w:ind w:left="360"/>
      </w:pPr>
    </w:p>
    <w:sectPr w:rsidR="002C6E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1919DA"/>
    <w:multiLevelType w:val="hybridMultilevel"/>
    <w:tmpl w:val="774C4246"/>
    <w:lvl w:ilvl="0" w:tplc="37E23B1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9765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8ED"/>
    <w:rsid w:val="0008234D"/>
    <w:rsid w:val="000A14D3"/>
    <w:rsid w:val="000D54D2"/>
    <w:rsid w:val="00150AF4"/>
    <w:rsid w:val="00177512"/>
    <w:rsid w:val="00213C9F"/>
    <w:rsid w:val="00265815"/>
    <w:rsid w:val="00282D4C"/>
    <w:rsid w:val="002863B7"/>
    <w:rsid w:val="002A35E1"/>
    <w:rsid w:val="002C6E1B"/>
    <w:rsid w:val="003267AF"/>
    <w:rsid w:val="00343DF1"/>
    <w:rsid w:val="00360346"/>
    <w:rsid w:val="0039354E"/>
    <w:rsid w:val="003C68C7"/>
    <w:rsid w:val="003C6C02"/>
    <w:rsid w:val="004169A3"/>
    <w:rsid w:val="004224B3"/>
    <w:rsid w:val="00482E4A"/>
    <w:rsid w:val="0050606D"/>
    <w:rsid w:val="00537551"/>
    <w:rsid w:val="00575DEC"/>
    <w:rsid w:val="005A7722"/>
    <w:rsid w:val="00626245"/>
    <w:rsid w:val="006606D7"/>
    <w:rsid w:val="0068017C"/>
    <w:rsid w:val="006A76D3"/>
    <w:rsid w:val="006D202C"/>
    <w:rsid w:val="006D5D85"/>
    <w:rsid w:val="00701DB0"/>
    <w:rsid w:val="00707367"/>
    <w:rsid w:val="0075446E"/>
    <w:rsid w:val="00793D0F"/>
    <w:rsid w:val="007D4745"/>
    <w:rsid w:val="008040CC"/>
    <w:rsid w:val="008118B2"/>
    <w:rsid w:val="008771E9"/>
    <w:rsid w:val="008B45B0"/>
    <w:rsid w:val="00923117"/>
    <w:rsid w:val="009408D4"/>
    <w:rsid w:val="00953138"/>
    <w:rsid w:val="009E640E"/>
    <w:rsid w:val="00A1288F"/>
    <w:rsid w:val="00A77ED6"/>
    <w:rsid w:val="00AB1E87"/>
    <w:rsid w:val="00AF09D5"/>
    <w:rsid w:val="00B51A81"/>
    <w:rsid w:val="00B920D2"/>
    <w:rsid w:val="00C13F92"/>
    <w:rsid w:val="00C20CFA"/>
    <w:rsid w:val="00C27BD9"/>
    <w:rsid w:val="00C40F01"/>
    <w:rsid w:val="00C80409"/>
    <w:rsid w:val="00CA3986"/>
    <w:rsid w:val="00CE29E8"/>
    <w:rsid w:val="00CF78ED"/>
    <w:rsid w:val="00D1039D"/>
    <w:rsid w:val="00D467A9"/>
    <w:rsid w:val="00E24419"/>
    <w:rsid w:val="00E46618"/>
    <w:rsid w:val="00E60CCB"/>
    <w:rsid w:val="00E62EAA"/>
    <w:rsid w:val="00EC5E52"/>
    <w:rsid w:val="00F44A05"/>
    <w:rsid w:val="00F8581D"/>
    <w:rsid w:val="00FA513B"/>
    <w:rsid w:val="00FC4A74"/>
    <w:rsid w:val="00FE7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9B1915"/>
  <w15:chartTrackingRefBased/>
  <w15:docId w15:val="{41E5E3C8-A28E-447E-8DAC-5DB9C46C3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CF7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7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7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7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7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7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7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7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7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78ED"/>
    <w:rPr>
      <w:rFonts w:asciiTheme="majorHAnsi" w:eastAsiaTheme="majorEastAsia" w:hAnsiTheme="majorHAnsi" w:cstheme="majorBidi"/>
      <w:color w:val="0F4761" w:themeColor="accent1" w:themeShade="BF"/>
      <w:sz w:val="40"/>
      <w:szCs w:val="40"/>
      <w:lang w:val="en-CA"/>
    </w:rPr>
  </w:style>
  <w:style w:type="character" w:customStyle="1" w:styleId="Heading2Char">
    <w:name w:val="Heading 2 Char"/>
    <w:basedOn w:val="DefaultParagraphFont"/>
    <w:link w:val="Heading2"/>
    <w:uiPriority w:val="9"/>
    <w:rsid w:val="00CF78ED"/>
    <w:rPr>
      <w:rFonts w:asciiTheme="majorHAnsi" w:eastAsiaTheme="majorEastAsia" w:hAnsiTheme="majorHAnsi" w:cstheme="majorBidi"/>
      <w:color w:val="0F4761" w:themeColor="accent1" w:themeShade="BF"/>
      <w:sz w:val="32"/>
      <w:szCs w:val="32"/>
      <w:lang w:val="en-CA"/>
    </w:rPr>
  </w:style>
  <w:style w:type="character" w:customStyle="1" w:styleId="Heading3Char">
    <w:name w:val="Heading 3 Char"/>
    <w:basedOn w:val="DefaultParagraphFont"/>
    <w:link w:val="Heading3"/>
    <w:uiPriority w:val="9"/>
    <w:semiHidden/>
    <w:rsid w:val="00CF78ED"/>
    <w:rPr>
      <w:rFonts w:eastAsiaTheme="majorEastAsia" w:cstheme="majorBidi"/>
      <w:color w:val="0F4761" w:themeColor="accent1" w:themeShade="BF"/>
      <w:sz w:val="28"/>
      <w:szCs w:val="28"/>
      <w:lang w:val="en-CA"/>
    </w:rPr>
  </w:style>
  <w:style w:type="character" w:customStyle="1" w:styleId="Heading4Char">
    <w:name w:val="Heading 4 Char"/>
    <w:basedOn w:val="DefaultParagraphFont"/>
    <w:link w:val="Heading4"/>
    <w:uiPriority w:val="9"/>
    <w:semiHidden/>
    <w:rsid w:val="00CF78ED"/>
    <w:rPr>
      <w:rFonts w:eastAsiaTheme="majorEastAsia" w:cstheme="majorBidi"/>
      <w:i/>
      <w:iCs/>
      <w:color w:val="0F4761" w:themeColor="accent1" w:themeShade="BF"/>
      <w:lang w:val="en-CA"/>
    </w:rPr>
  </w:style>
  <w:style w:type="character" w:customStyle="1" w:styleId="Heading5Char">
    <w:name w:val="Heading 5 Char"/>
    <w:basedOn w:val="DefaultParagraphFont"/>
    <w:link w:val="Heading5"/>
    <w:uiPriority w:val="9"/>
    <w:semiHidden/>
    <w:rsid w:val="00CF78ED"/>
    <w:rPr>
      <w:rFonts w:eastAsiaTheme="majorEastAsia" w:cstheme="majorBidi"/>
      <w:color w:val="0F4761" w:themeColor="accent1" w:themeShade="BF"/>
      <w:lang w:val="en-CA"/>
    </w:rPr>
  </w:style>
  <w:style w:type="character" w:customStyle="1" w:styleId="Heading6Char">
    <w:name w:val="Heading 6 Char"/>
    <w:basedOn w:val="DefaultParagraphFont"/>
    <w:link w:val="Heading6"/>
    <w:uiPriority w:val="9"/>
    <w:semiHidden/>
    <w:rsid w:val="00CF78E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CF78E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CF78E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CF78E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CF7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78E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CF7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78E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CF78ED"/>
    <w:pPr>
      <w:spacing w:before="160"/>
      <w:jc w:val="center"/>
    </w:pPr>
    <w:rPr>
      <w:i/>
      <w:iCs/>
      <w:color w:val="404040" w:themeColor="text1" w:themeTint="BF"/>
    </w:rPr>
  </w:style>
  <w:style w:type="character" w:customStyle="1" w:styleId="QuoteChar">
    <w:name w:val="Quote Char"/>
    <w:basedOn w:val="DefaultParagraphFont"/>
    <w:link w:val="Quote"/>
    <w:uiPriority w:val="29"/>
    <w:rsid w:val="00CF78ED"/>
    <w:rPr>
      <w:i/>
      <w:iCs/>
      <w:color w:val="404040" w:themeColor="text1" w:themeTint="BF"/>
      <w:lang w:val="en-CA"/>
    </w:rPr>
  </w:style>
  <w:style w:type="paragraph" w:styleId="ListParagraph">
    <w:name w:val="List Paragraph"/>
    <w:basedOn w:val="Normal"/>
    <w:uiPriority w:val="34"/>
    <w:qFormat/>
    <w:rsid w:val="00CF78ED"/>
    <w:pPr>
      <w:ind w:left="720"/>
      <w:contextualSpacing/>
    </w:pPr>
  </w:style>
  <w:style w:type="character" w:styleId="IntenseEmphasis">
    <w:name w:val="Intense Emphasis"/>
    <w:basedOn w:val="DefaultParagraphFont"/>
    <w:uiPriority w:val="21"/>
    <w:qFormat/>
    <w:rsid w:val="00CF78ED"/>
    <w:rPr>
      <w:i/>
      <w:iCs/>
      <w:color w:val="0F4761" w:themeColor="accent1" w:themeShade="BF"/>
    </w:rPr>
  </w:style>
  <w:style w:type="paragraph" w:styleId="IntenseQuote">
    <w:name w:val="Intense Quote"/>
    <w:basedOn w:val="Normal"/>
    <w:next w:val="Normal"/>
    <w:link w:val="IntenseQuoteChar"/>
    <w:uiPriority w:val="30"/>
    <w:qFormat/>
    <w:rsid w:val="00CF7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78ED"/>
    <w:rPr>
      <w:i/>
      <w:iCs/>
      <w:color w:val="0F4761" w:themeColor="accent1" w:themeShade="BF"/>
      <w:lang w:val="en-CA"/>
    </w:rPr>
  </w:style>
  <w:style w:type="character" w:styleId="IntenseReference">
    <w:name w:val="Intense Reference"/>
    <w:basedOn w:val="DefaultParagraphFont"/>
    <w:uiPriority w:val="32"/>
    <w:qFormat/>
    <w:rsid w:val="00CF78ED"/>
    <w:rPr>
      <w:b/>
      <w:bCs/>
      <w:smallCaps/>
      <w:color w:val="0F4761" w:themeColor="accent1" w:themeShade="BF"/>
      <w:spacing w:val="5"/>
    </w:rPr>
  </w:style>
  <w:style w:type="character" w:styleId="Hyperlink">
    <w:name w:val="Hyperlink"/>
    <w:basedOn w:val="DefaultParagraphFont"/>
    <w:uiPriority w:val="99"/>
    <w:unhideWhenUsed/>
    <w:rsid w:val="00537551"/>
    <w:rPr>
      <w:color w:val="467886" w:themeColor="hyperlink"/>
      <w:u w:val="single"/>
    </w:rPr>
  </w:style>
  <w:style w:type="character" w:styleId="UnresolvedMention">
    <w:name w:val="Unresolved Mention"/>
    <w:basedOn w:val="DefaultParagraphFont"/>
    <w:uiPriority w:val="99"/>
    <w:semiHidden/>
    <w:unhideWhenUsed/>
    <w:rsid w:val="00537551"/>
    <w:rPr>
      <w:color w:val="605E5C"/>
      <w:shd w:val="clear" w:color="auto" w:fill="E1DFDD"/>
    </w:rPr>
  </w:style>
  <w:style w:type="character" w:styleId="PlaceholderText">
    <w:name w:val="Placeholder Text"/>
    <w:basedOn w:val="DefaultParagraphFont"/>
    <w:uiPriority w:val="99"/>
    <w:semiHidden/>
    <w:rsid w:val="008771E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eople.duke.edu/~charvey/Teaching/BA453_2006/Idzorek_onBL.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atista.com/statistics/262742/countries-with-the-highest-military-spending/" TargetMode="External"/><Relationship Id="rId5" Type="http://schemas.openxmlformats.org/officeDocument/2006/relationships/hyperlink" Target="https://www.nato.int/en/what-we-do/introduction-to-nato/defence-expenditures-and-natos-5-commitmen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472</TotalTime>
  <Pages>2</Pages>
  <Words>690</Words>
  <Characters>3936</Characters>
  <Application>Microsoft Office Word</Application>
  <DocSecurity>0</DocSecurity>
  <Lines>32</Lines>
  <Paragraphs>9</Paragraphs>
  <ScaleCrop>false</ScaleCrop>
  <Company/>
  <LinksUpToDate>false</LinksUpToDate>
  <CharactersWithSpaces>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Fernandes</dc:creator>
  <cp:keywords/>
  <dc:description/>
  <cp:lastModifiedBy>Kevin Fernandes</cp:lastModifiedBy>
  <cp:revision>63</cp:revision>
  <dcterms:created xsi:type="dcterms:W3CDTF">2026-06-30T17:29:00Z</dcterms:created>
  <dcterms:modified xsi:type="dcterms:W3CDTF">2026-07-07T11:21:00Z</dcterms:modified>
</cp:coreProperties>
</file>