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right="0"/>
        <w:jc w:val="both"/>
        <w:rPr/>
      </w:pPr>
      <w:r>
        <w:rPr/>
        <w:t>CAHIER DES CHARGES FONCTIONNEL ET TECHNIQUE</w:t>
      </w:r>
    </w:p>
    <w:p>
      <w:pPr>
        <w:pStyle w:val="BodyText"/>
        <w:bidi w:val="0"/>
        <w:ind w:hanging="0" w:left="0" w:right="0"/>
        <w:jc w:val="both"/>
        <w:rPr/>
      </w:pPr>
      <w:r>
        <w:rPr/>
      </w:r>
    </w:p>
    <w:p>
      <w:pPr>
        <w:pStyle w:val="BodyText"/>
        <w:bidi w:val="0"/>
        <w:ind w:hanging="0" w:left="0" w:right="0"/>
        <w:jc w:val="left"/>
        <w:rPr/>
      </w:pPr>
      <w:r>
        <w:rPr>
          <w:rStyle w:val="Strong"/>
        </w:rPr>
        <w:t>Projet : Application Web de Suivi des Réclamations Clients Bancaires</w:t>
      </w:r>
      <w:r>
        <w:rPr/>
        <w:br/>
      </w:r>
      <w:r>
        <w:rPr>
          <w:rStyle w:val="Strong"/>
        </w:rPr>
        <w:t>Date :</w:t>
      </w:r>
      <w:r>
        <w:rPr/>
        <w:t xml:space="preserve"> 03 Août 2026</w:t>
        <w:br/>
      </w:r>
      <w:r>
        <w:rPr>
          <w:rStyle w:val="Strong"/>
        </w:rPr>
        <w:t>Auteur :</w:t>
      </w:r>
      <w:r>
        <w:rPr/>
        <w:t xml:space="preserve"> Dieudonné (Stagiaire Développement)</w:t>
      </w:r>
    </w:p>
    <w:p>
      <w:pPr>
        <w:pStyle w:val="Heading2"/>
        <w:bidi w:val="0"/>
        <w:ind w:hanging="0" w:left="0" w:right="0"/>
        <w:jc w:val="both"/>
        <w:rPr/>
      </w:pPr>
      <w:r>
        <w:rPr/>
        <w:t>1. Résumé Opérationnel</w:t>
      </w:r>
    </w:p>
    <w:p>
      <w:pPr>
        <w:pStyle w:val="BodyText"/>
        <w:bidi w:val="0"/>
        <w:ind w:hanging="0" w:left="0" w:right="0"/>
        <w:jc w:val="both"/>
        <w:rPr/>
      </w:pPr>
      <w:r>
        <w:rPr/>
        <w:t>Ce projet vise à développer une application web interne pour centraliser, suivre et traiter les réclamations clients. L'objectif est de remplacer les processus actuels dispersés par un outil unique, traçable et piloté par des indicateurs de performance (SLA), livrable dans un délai de 5 semaines.</w:t>
      </w:r>
    </w:p>
    <w:p>
      <w:pPr>
        <w:pStyle w:val="Heading2"/>
        <w:bidi w:val="0"/>
        <w:ind w:hanging="0" w:left="0" w:right="0"/>
        <w:jc w:val="both"/>
        <w:rPr/>
      </w:pPr>
      <w:r>
        <w:rPr/>
        <w:t>2. Contexte et Problématique</w:t>
      </w:r>
    </w:p>
    <w:p>
      <w:pPr>
        <w:pStyle w:val="BodyText"/>
        <w:bidi w:val="0"/>
        <w:ind w:hanging="0" w:left="0" w:right="0"/>
        <w:jc w:val="both"/>
        <w:rPr/>
      </w:pPr>
      <w:r>
        <w:rPr/>
        <w:t>Le traitement actuel des réclamations manque de centralisation et de traçabilité, entraînant des risques de retard, une perte de visibilité pour les responsables et une impossibilité de mesurer objectivement la qualité de service. L'absence d'outil dédié fragilise la relation client.</w:t>
      </w:r>
    </w:p>
    <w:p>
      <w:pPr>
        <w:pStyle w:val="Heading2"/>
        <w:bidi w:val="0"/>
        <w:ind w:hanging="0" w:left="0" w:right="0"/>
        <w:jc w:val="both"/>
        <w:rPr/>
      </w:pPr>
      <w:r>
        <w:rPr/>
        <w:t>3. Objectifs et Indicateurs de Succès (KPI)</w:t>
      </w:r>
    </w:p>
    <w:p>
      <w:pPr>
        <w:pStyle w:val="BodyText"/>
        <w:bidi w:val="0"/>
        <w:ind w:hanging="0" w:left="0" w:right="0"/>
        <w:jc w:val="both"/>
        <w:rPr/>
      </w:pPr>
      <w:r>
        <w:rPr/>
        <w:t>L'application doit permettre de :</w:t>
      </w:r>
    </w:p>
    <w:p>
      <w:pPr>
        <w:pStyle w:val="BodyText"/>
        <w:numPr>
          <w:ilvl w:val="0"/>
          <w:numId w:val="1"/>
        </w:numPr>
        <w:tabs>
          <w:tab w:val="left" w:pos="709" w:leader="none"/>
        </w:tabs>
        <w:bidi w:val="0"/>
        <w:spacing w:before="0" w:after="0"/>
        <w:ind w:hanging="283" w:left="709" w:right="0"/>
        <w:jc w:val="both"/>
        <w:rPr/>
      </w:pPr>
      <w:r>
        <w:rPr/>
        <w:t>Centraliser 100% des réclamations dans une base unique.</w:t>
      </w:r>
    </w:p>
    <w:p>
      <w:pPr>
        <w:pStyle w:val="BodyText"/>
        <w:numPr>
          <w:ilvl w:val="0"/>
          <w:numId w:val="1"/>
        </w:numPr>
        <w:tabs>
          <w:tab w:val="left" w:pos="709" w:leader="none"/>
        </w:tabs>
        <w:bidi w:val="0"/>
        <w:spacing w:before="0" w:after="0"/>
        <w:ind w:hanging="283" w:left="709" w:right="0"/>
        <w:jc w:val="both"/>
        <w:rPr/>
      </w:pPr>
      <w:r>
        <w:rPr/>
        <w:t>Respecter les délais de traitement (SLA) définis.</w:t>
      </w:r>
    </w:p>
    <w:p>
      <w:pPr>
        <w:pStyle w:val="BodyText"/>
        <w:numPr>
          <w:ilvl w:val="0"/>
          <w:numId w:val="1"/>
        </w:numPr>
        <w:tabs>
          <w:tab w:val="left" w:pos="709" w:leader="none"/>
        </w:tabs>
        <w:bidi w:val="0"/>
        <w:ind w:hanging="283" w:left="709" w:right="0"/>
        <w:jc w:val="both"/>
        <w:rPr/>
      </w:pPr>
      <w:r>
        <w:rPr>
          <w:rStyle w:val="Strong"/>
        </w:rPr>
        <w:t>KPI de succès</w:t>
      </w:r>
      <w:r>
        <w:rPr/>
        <w:t xml:space="preserve"> : 90% des réclamations traitées dans les délais SLA cibles ; réduction du temps moyen de résolution mesurable via le tableau de bord.</w:t>
      </w:r>
    </w:p>
    <w:p>
      <w:pPr>
        <w:pStyle w:val="Heading2"/>
        <w:bidi w:val="0"/>
        <w:ind w:hanging="0" w:left="0" w:right="0"/>
        <w:jc w:val="both"/>
        <w:rPr/>
      </w:pPr>
      <w:r>
        <w:rPr/>
        <w:t>4. Périmètre du Projet (Scope)</w:t>
      </w:r>
    </w:p>
    <w:p>
      <w:pPr>
        <w:pStyle w:val="Heading3"/>
        <w:bidi w:val="0"/>
        <w:ind w:hanging="0" w:left="0" w:right="0"/>
        <w:jc w:val="both"/>
        <w:rPr/>
      </w:pPr>
      <w:r>
        <w:rPr/>
        <w:t>4.1. Inclus (In Scope)</w:t>
      </w:r>
    </w:p>
    <w:p>
      <w:pPr>
        <w:pStyle w:val="BodyText"/>
        <w:numPr>
          <w:ilvl w:val="0"/>
          <w:numId w:val="2"/>
        </w:numPr>
        <w:tabs>
          <w:tab w:val="left" w:pos="709" w:leader="none"/>
        </w:tabs>
        <w:bidi w:val="0"/>
        <w:spacing w:before="0" w:after="0"/>
        <w:ind w:hanging="283" w:left="709" w:right="0"/>
        <w:jc w:val="both"/>
        <w:rPr/>
      </w:pPr>
      <w:r>
        <w:rPr/>
        <w:t>Gestion des utilisateurs et des rôles (Admin, Agent, Responsable).</w:t>
      </w:r>
    </w:p>
    <w:p>
      <w:pPr>
        <w:pStyle w:val="BodyText"/>
        <w:numPr>
          <w:ilvl w:val="0"/>
          <w:numId w:val="2"/>
        </w:numPr>
        <w:tabs>
          <w:tab w:val="left" w:pos="709" w:leader="none"/>
        </w:tabs>
        <w:bidi w:val="0"/>
        <w:spacing w:before="0" w:after="0"/>
        <w:ind w:hanging="283" w:left="709" w:right="0"/>
        <w:jc w:val="both"/>
        <w:rPr/>
      </w:pPr>
      <w:r>
        <w:rPr/>
        <w:t>Création et gestion d'un annuaire client simplifié (saisie manuelle).</w:t>
      </w:r>
    </w:p>
    <w:p>
      <w:pPr>
        <w:pStyle w:val="BodyText"/>
        <w:numPr>
          <w:ilvl w:val="0"/>
          <w:numId w:val="2"/>
        </w:numPr>
        <w:tabs>
          <w:tab w:val="left" w:pos="709" w:leader="none"/>
        </w:tabs>
        <w:bidi w:val="0"/>
        <w:spacing w:before="0" w:after="0"/>
        <w:ind w:hanging="283" w:left="709" w:right="0"/>
        <w:jc w:val="both"/>
        <w:rPr/>
      </w:pPr>
      <w:r>
        <w:rPr/>
        <w:t>Workflow complet de traitement des réclamations avec historique des actions.</w:t>
      </w:r>
    </w:p>
    <w:p>
      <w:pPr>
        <w:pStyle w:val="BodyText"/>
        <w:numPr>
          <w:ilvl w:val="0"/>
          <w:numId w:val="2"/>
        </w:numPr>
        <w:tabs>
          <w:tab w:val="left" w:pos="709" w:leader="none"/>
        </w:tabs>
        <w:bidi w:val="0"/>
        <w:spacing w:before="0" w:after="0"/>
        <w:ind w:hanging="283" w:left="709" w:right="0"/>
        <w:jc w:val="both"/>
        <w:rPr/>
      </w:pPr>
      <w:r>
        <w:rPr/>
        <w:t>Tableau de bord avec statistiques et alertes de retard (SLA).</w:t>
      </w:r>
    </w:p>
    <w:p>
      <w:pPr>
        <w:pStyle w:val="BodyText"/>
        <w:numPr>
          <w:ilvl w:val="0"/>
          <w:numId w:val="2"/>
        </w:numPr>
        <w:tabs>
          <w:tab w:val="left" w:pos="709" w:leader="none"/>
        </w:tabs>
        <w:bidi w:val="0"/>
        <w:ind w:hanging="283" w:left="709" w:right="0"/>
        <w:jc w:val="both"/>
        <w:rPr/>
      </w:pPr>
      <w:r>
        <w:rPr/>
        <w:t>Génération de jeux de données fictives pour les tests (Seeders).</w:t>
      </w:r>
    </w:p>
    <w:p>
      <w:pPr>
        <w:pStyle w:val="Heading3"/>
        <w:bidi w:val="0"/>
        <w:ind w:hanging="0" w:left="0" w:right="0"/>
        <w:jc w:val="both"/>
        <w:rPr/>
      </w:pPr>
      <w:r>
        <w:rPr/>
        <w:t xml:space="preserve">4.2. Exclus (Out of Scope) – </w:t>
      </w:r>
      <w:r>
        <w:rPr>
          <w:rStyle w:val="Emphasis"/>
        </w:rPr>
        <w:t>Clause de protection</w:t>
      </w:r>
    </w:p>
    <w:p>
      <w:pPr>
        <w:pStyle w:val="BodyText"/>
        <w:numPr>
          <w:ilvl w:val="0"/>
          <w:numId w:val="3"/>
        </w:numPr>
        <w:tabs>
          <w:tab w:val="left" w:pos="709" w:leader="none"/>
        </w:tabs>
        <w:bidi w:val="0"/>
        <w:spacing w:before="0" w:after="0"/>
        <w:ind w:hanging="283" w:left="709" w:right="0"/>
        <w:jc w:val="both"/>
        <w:rPr/>
      </w:pPr>
      <w:r>
        <w:rPr/>
        <w:t>Aucune interfaçage automatique avec le Core Banking System existant.</w:t>
      </w:r>
    </w:p>
    <w:p>
      <w:pPr>
        <w:pStyle w:val="BodyText"/>
        <w:numPr>
          <w:ilvl w:val="0"/>
          <w:numId w:val="3"/>
        </w:numPr>
        <w:tabs>
          <w:tab w:val="left" w:pos="709" w:leader="none"/>
        </w:tabs>
        <w:bidi w:val="0"/>
        <w:spacing w:before="0" w:after="0"/>
        <w:ind w:hanging="283" w:left="709" w:right="0"/>
        <w:jc w:val="both"/>
        <w:rPr/>
      </w:pPr>
      <w:r>
        <w:rPr/>
        <w:t>Aucun envoi automatisé d'emails ou de SMS aux clients finaux.</w:t>
      </w:r>
    </w:p>
    <w:p>
      <w:pPr>
        <w:pStyle w:val="BodyText"/>
        <w:numPr>
          <w:ilvl w:val="0"/>
          <w:numId w:val="3"/>
        </w:numPr>
        <w:tabs>
          <w:tab w:val="left" w:pos="709" w:leader="none"/>
        </w:tabs>
        <w:bidi w:val="0"/>
        <w:ind w:hanging="283" w:left="709" w:right="0"/>
        <w:jc w:val="both"/>
        <w:rPr/>
      </w:pPr>
      <w:r>
        <w:rPr/>
        <w:t>Aucune gestion documentaire complexe (pièces jointes limitées à 1 fichier PDF léger &lt; 2Mo par réclamation, ou aucune selon contrainte temps).</w:t>
      </w:r>
    </w:p>
    <w:p>
      <w:pPr>
        <w:pStyle w:val="Heading2"/>
        <w:bidi w:val="0"/>
        <w:ind w:hanging="0" w:left="0" w:right="0"/>
        <w:jc w:val="both"/>
        <w:rPr/>
      </w:pPr>
      <w:r>
        <w:rPr/>
        <w:t>5. Acteurs et Rôles</w:t>
      </w:r>
    </w:p>
    <w:tbl>
      <w:tblPr>
        <w:tblW w:w="9972" w:type="dxa"/>
        <w:jc w:val="left"/>
        <w:tblInd w:w="28" w:type="dxa"/>
        <w:tblLayout w:type="fixed"/>
        <w:tblCellMar>
          <w:top w:w="28" w:type="dxa"/>
          <w:left w:w="28" w:type="dxa"/>
          <w:bottom w:w="28" w:type="dxa"/>
          <w:right w:w="28" w:type="dxa"/>
        </w:tblCellMar>
      </w:tblPr>
      <w:tblGrid>
        <w:gridCol w:w="2067"/>
        <w:gridCol w:w="2462"/>
        <w:gridCol w:w="5443"/>
      </w:tblGrid>
      <w:tr>
        <w:trPr>
          <w:tblHeader w:val="true"/>
        </w:trPr>
        <w:tc>
          <w:tcPr>
            <w:tcW w:w="2067" w:type="dxa"/>
            <w:tcBorders/>
            <w:vAlign w:val="center"/>
          </w:tcPr>
          <w:p>
            <w:pPr>
              <w:pStyle w:val="TableHeading"/>
              <w:bidi w:val="0"/>
              <w:ind w:hanging="0" w:left="0" w:right="0"/>
              <w:jc w:val="both"/>
              <w:rPr/>
            </w:pPr>
            <w:r>
              <w:rPr/>
              <w:t>Rôle</w:t>
            </w:r>
          </w:p>
        </w:tc>
        <w:tc>
          <w:tcPr>
            <w:tcW w:w="2462" w:type="dxa"/>
            <w:tcBorders/>
            <w:vAlign w:val="center"/>
          </w:tcPr>
          <w:p>
            <w:pPr>
              <w:pStyle w:val="TableHeading"/>
              <w:bidi w:val="0"/>
              <w:ind w:hanging="0" w:left="0" w:right="0"/>
              <w:jc w:val="both"/>
              <w:rPr/>
            </w:pPr>
            <w:r>
              <w:rPr/>
              <w:t>Responsabilités Clés</w:t>
            </w:r>
          </w:p>
        </w:tc>
        <w:tc>
          <w:tcPr>
            <w:tcW w:w="5443" w:type="dxa"/>
            <w:tcBorders/>
            <w:vAlign w:val="center"/>
          </w:tcPr>
          <w:p>
            <w:pPr>
              <w:pStyle w:val="TableHeading"/>
              <w:bidi w:val="0"/>
              <w:ind w:hanging="0" w:left="0" w:right="0"/>
              <w:jc w:val="both"/>
              <w:rPr/>
            </w:pPr>
            <w:r>
              <w:rPr/>
              <w:t>Droits Système</w:t>
            </w:r>
          </w:p>
        </w:tc>
      </w:tr>
      <w:tr>
        <w:trPr/>
        <w:tc>
          <w:tcPr>
            <w:tcW w:w="2067" w:type="dxa"/>
            <w:tcBorders/>
            <w:vAlign w:val="center"/>
          </w:tcPr>
          <w:p>
            <w:pPr>
              <w:pStyle w:val="TableContents"/>
              <w:bidi w:val="0"/>
              <w:ind w:hanging="0" w:left="0" w:right="0"/>
              <w:jc w:val="both"/>
              <w:rPr/>
            </w:pPr>
            <w:r>
              <w:rPr>
                <w:rStyle w:val="Strong"/>
              </w:rPr>
              <w:t>Administrateur</w:t>
            </w:r>
          </w:p>
        </w:tc>
        <w:tc>
          <w:tcPr>
            <w:tcW w:w="2462" w:type="dxa"/>
            <w:tcBorders/>
            <w:vAlign w:val="center"/>
          </w:tcPr>
          <w:p>
            <w:pPr>
              <w:pStyle w:val="TableContents"/>
              <w:bidi w:val="0"/>
              <w:ind w:hanging="0" w:left="0" w:right="0"/>
              <w:jc w:val="both"/>
              <w:rPr/>
            </w:pPr>
            <w:r>
              <w:rPr/>
              <w:t>Gestion du système, paramétrage.</w:t>
            </w:r>
          </w:p>
        </w:tc>
        <w:tc>
          <w:tcPr>
            <w:tcW w:w="5443" w:type="dxa"/>
            <w:tcBorders/>
            <w:vAlign w:val="center"/>
          </w:tcPr>
          <w:p>
            <w:pPr>
              <w:pStyle w:val="TableContents"/>
              <w:bidi w:val="0"/>
              <w:ind w:hanging="0" w:left="0" w:right="0"/>
              <w:jc w:val="both"/>
              <w:rPr/>
            </w:pPr>
            <w:r>
              <w:rPr/>
              <w:t>CRUD utilisateurs, gestion des catégories, accès total aux données et indicateurs.</w:t>
            </w:r>
          </w:p>
        </w:tc>
      </w:tr>
      <w:tr>
        <w:trPr/>
        <w:tc>
          <w:tcPr>
            <w:tcW w:w="2067" w:type="dxa"/>
            <w:tcBorders/>
            <w:vAlign w:val="center"/>
          </w:tcPr>
          <w:p>
            <w:pPr>
              <w:pStyle w:val="TableContents"/>
              <w:bidi w:val="0"/>
              <w:ind w:hanging="0" w:left="0" w:right="0"/>
              <w:jc w:val="both"/>
              <w:rPr/>
            </w:pPr>
            <w:r>
              <w:rPr>
                <w:rStyle w:val="Strong"/>
              </w:rPr>
              <w:t>Agent clientèle</w:t>
            </w:r>
          </w:p>
        </w:tc>
        <w:tc>
          <w:tcPr>
            <w:tcW w:w="2462" w:type="dxa"/>
            <w:tcBorders/>
            <w:vAlign w:val="center"/>
          </w:tcPr>
          <w:p>
            <w:pPr>
              <w:pStyle w:val="TableContents"/>
              <w:bidi w:val="0"/>
              <w:ind w:hanging="0" w:left="0" w:right="0"/>
              <w:jc w:val="both"/>
              <w:rPr/>
            </w:pPr>
            <w:r>
              <w:rPr/>
              <w:t>Saisie et premier niveau de suivi.</w:t>
            </w:r>
          </w:p>
        </w:tc>
        <w:tc>
          <w:tcPr>
            <w:tcW w:w="5443" w:type="dxa"/>
            <w:tcBorders/>
            <w:vAlign w:val="center"/>
          </w:tcPr>
          <w:p>
            <w:pPr>
              <w:pStyle w:val="TableContents"/>
              <w:bidi w:val="0"/>
              <w:ind w:hanging="0" w:left="0" w:right="0"/>
              <w:jc w:val="both"/>
              <w:rPr/>
            </w:pPr>
            <w:r>
              <w:rPr/>
              <w:t>Créer une réclamation, consulter ses dossiers, ajouter des commentaires/actions.</w:t>
            </w:r>
          </w:p>
        </w:tc>
      </w:tr>
      <w:tr>
        <w:trPr/>
        <w:tc>
          <w:tcPr>
            <w:tcW w:w="2067" w:type="dxa"/>
            <w:tcBorders/>
            <w:vAlign w:val="center"/>
          </w:tcPr>
          <w:p>
            <w:pPr>
              <w:pStyle w:val="TableContents"/>
              <w:bidi w:val="0"/>
              <w:ind w:hanging="0" w:left="0" w:right="0"/>
              <w:jc w:val="both"/>
              <w:rPr/>
            </w:pPr>
            <w:r>
              <w:rPr>
                <w:rStyle w:val="Strong"/>
              </w:rPr>
              <w:t>Responsable de service</w:t>
            </w:r>
          </w:p>
        </w:tc>
        <w:tc>
          <w:tcPr>
            <w:tcW w:w="2462" w:type="dxa"/>
            <w:tcBorders/>
            <w:vAlign w:val="center"/>
          </w:tcPr>
          <w:p>
            <w:pPr>
              <w:pStyle w:val="TableContents"/>
              <w:bidi w:val="0"/>
              <w:ind w:hanging="0" w:left="0" w:right="0"/>
              <w:jc w:val="both"/>
              <w:rPr/>
            </w:pPr>
            <w:r>
              <w:rPr/>
              <w:t>Pilotage et validation.</w:t>
            </w:r>
          </w:p>
        </w:tc>
        <w:tc>
          <w:tcPr>
            <w:tcW w:w="5443" w:type="dxa"/>
            <w:tcBorders/>
            <w:vAlign w:val="center"/>
          </w:tcPr>
          <w:p>
            <w:pPr>
              <w:pStyle w:val="TableContents"/>
              <w:bidi w:val="0"/>
              <w:ind w:hanging="0" w:left="0" w:right="0"/>
              <w:jc w:val="both"/>
              <w:rPr/>
            </w:pPr>
            <w:r>
              <w:rPr/>
              <w:t>Consulter les réclamations de son service, affecter aux agents, changer les statuts, valider les clôtures.</w:t>
            </w:r>
          </w:p>
        </w:tc>
      </w:tr>
    </w:tbl>
    <w:p>
      <w:pPr>
        <w:pStyle w:val="Heading2"/>
        <w:bidi w:val="0"/>
        <w:ind w:hanging="0" w:left="0" w:right="0"/>
        <w:jc w:val="both"/>
        <w:rPr/>
      </w:pPr>
      <w:r>
        <w:rPr/>
        <w:t>6. Exigences Fonctionnelles Clés</w:t>
      </w:r>
    </w:p>
    <w:p>
      <w:pPr>
        <w:pStyle w:val="BodyText"/>
        <w:numPr>
          <w:ilvl w:val="0"/>
          <w:numId w:val="4"/>
        </w:numPr>
        <w:tabs>
          <w:tab w:val="left" w:pos="709" w:leader="none"/>
        </w:tabs>
        <w:bidi w:val="0"/>
        <w:spacing w:before="0" w:after="0"/>
        <w:ind w:hanging="283" w:left="709" w:right="0"/>
        <w:jc w:val="both"/>
        <w:rPr/>
      </w:pPr>
      <w:r>
        <w:rPr>
          <w:rStyle w:val="Strong"/>
        </w:rPr>
        <w:t>Authentification</w:t>
      </w:r>
      <w:r>
        <w:rPr/>
        <w:t xml:space="preserve"> : Login/mot de passe sécurisé, gestion de session, redirection selon le rôle.</w:t>
      </w:r>
    </w:p>
    <w:p>
      <w:pPr>
        <w:pStyle w:val="BodyText"/>
        <w:numPr>
          <w:ilvl w:val="0"/>
          <w:numId w:val="4"/>
        </w:numPr>
        <w:tabs>
          <w:tab w:val="left" w:pos="709" w:leader="none"/>
        </w:tabs>
        <w:bidi w:val="0"/>
        <w:spacing w:before="0" w:after="0"/>
        <w:ind w:hanging="283" w:left="709" w:right="0"/>
        <w:jc w:val="both"/>
        <w:rPr/>
      </w:pPr>
      <w:r>
        <w:rPr>
          <w:rStyle w:val="Strong"/>
        </w:rPr>
        <w:t>Gestion des clients</w:t>
      </w:r>
      <w:r>
        <w:rPr/>
        <w:t xml:space="preserve"> : Champs obligatoires : Identifiant unique, Nom, Prénom, Téléphone, Email, Agence.</w:t>
      </w:r>
    </w:p>
    <w:p>
      <w:pPr>
        <w:pStyle w:val="BodyText"/>
        <w:numPr>
          <w:ilvl w:val="0"/>
          <w:numId w:val="4"/>
        </w:numPr>
        <w:tabs>
          <w:tab w:val="left" w:pos="709" w:leader="none"/>
        </w:tabs>
        <w:bidi w:val="0"/>
        <w:spacing w:before="0" w:after="0"/>
        <w:ind w:hanging="283" w:left="709" w:right="0"/>
        <w:jc w:val="both"/>
        <w:rPr/>
      </w:pPr>
      <w:r>
        <w:rPr>
          <w:rStyle w:val="Strong"/>
        </w:rPr>
        <w:t>Création de réclamation</w:t>
      </w:r>
      <w:r>
        <w:rPr/>
        <w:t xml:space="preserve"> : Génération auto d'un numéro unique. Champs : Date, Client, Canal (Agence, Tél, Email, App), Catégorie, Description, Priorité, Service concerné.</w:t>
      </w:r>
    </w:p>
    <w:p>
      <w:pPr>
        <w:pStyle w:val="BodyText"/>
        <w:numPr>
          <w:ilvl w:val="0"/>
          <w:numId w:val="4"/>
        </w:numPr>
        <w:tabs>
          <w:tab w:val="left" w:pos="709" w:leader="none"/>
        </w:tabs>
        <w:bidi w:val="0"/>
        <w:spacing w:before="0" w:after="0"/>
        <w:ind w:hanging="283" w:left="709" w:right="0"/>
        <w:jc w:val="both"/>
        <w:rPr/>
      </w:pPr>
      <w:r>
        <w:rPr>
          <w:rStyle w:val="Strong"/>
        </w:rPr>
        <w:t>Workflow et Historisation</w:t>
      </w:r>
      <w:r>
        <w:rPr/>
        <w:t xml:space="preserve"> : Statuts : </w:t>
      </w:r>
      <w:r>
        <w:rPr>
          <w:rStyle w:val="Emphasis"/>
        </w:rPr>
        <w:t>Nouvelle → Affectée → En cours → En attente client → Résolue → Clôturée</w:t>
      </w:r>
      <w:r>
        <w:rPr/>
        <w:t>. Chaque changement doit enregistrer : Date, Utilisateur, Ancienne valeur, Nouvelle valeur.</w:t>
      </w:r>
    </w:p>
    <w:p>
      <w:pPr>
        <w:pStyle w:val="BodyText"/>
        <w:numPr>
          <w:ilvl w:val="0"/>
          <w:numId w:val="4"/>
        </w:numPr>
        <w:tabs>
          <w:tab w:val="left" w:pos="709" w:leader="none"/>
        </w:tabs>
        <w:bidi w:val="0"/>
        <w:spacing w:before="0" w:after="0"/>
        <w:ind w:hanging="283" w:left="709" w:right="0"/>
        <w:jc w:val="both"/>
        <w:rPr/>
      </w:pPr>
      <w:r>
        <w:rPr>
          <w:rStyle w:val="Strong"/>
        </w:rPr>
        <w:t>Gestion des SLA</w:t>
      </w:r>
      <w:r>
        <w:rPr/>
        <w:t xml:space="preserve"> : Calcul automatique de la date limite. Alertes visuelles (ex: rouge) si le délai est dépassé.</w:t>
      </w:r>
    </w:p>
    <w:p>
      <w:pPr>
        <w:pStyle w:val="BodyText"/>
        <w:numPr>
          <w:ilvl w:val="1"/>
          <w:numId w:val="4"/>
        </w:numPr>
        <w:tabs>
          <w:tab w:val="clear" w:pos="709"/>
          <w:tab w:val="left" w:pos="1418" w:leader="none"/>
        </w:tabs>
        <w:bidi w:val="0"/>
        <w:spacing w:before="0" w:after="0"/>
        <w:ind w:hanging="283" w:left="1418" w:right="0"/>
        <w:jc w:val="both"/>
        <w:rPr/>
      </w:pPr>
      <w:r>
        <w:rPr/>
        <w:t>Critique : 24h | Haute : 48h | Moyenne : 5 jours | Faible : 10 jours.</w:t>
      </w:r>
    </w:p>
    <w:p>
      <w:pPr>
        <w:pStyle w:val="BodyText"/>
        <w:numPr>
          <w:ilvl w:val="0"/>
          <w:numId w:val="4"/>
        </w:numPr>
        <w:tabs>
          <w:tab w:val="left" w:pos="709" w:leader="none"/>
        </w:tabs>
        <w:bidi w:val="0"/>
        <w:ind w:hanging="283" w:left="709" w:right="0"/>
        <w:jc w:val="both"/>
        <w:rPr/>
      </w:pPr>
      <w:r>
        <w:rPr>
          <w:rStyle w:val="Strong"/>
        </w:rPr>
        <w:t>Tableau de bord (Responsable/Admin)</w:t>
      </w:r>
      <w:r>
        <w:rPr/>
        <w:t xml:space="preserve"> : Nombre total, ouvertes, clôturées, en retard, temps moyen de résolution. Graphiques simples par catégorie, agence et service.</w:t>
      </w:r>
    </w:p>
    <w:p>
      <w:pPr>
        <w:pStyle w:val="Heading2"/>
        <w:bidi w:val="0"/>
        <w:ind w:hanging="0" w:left="0" w:right="0"/>
        <w:jc w:val="both"/>
        <w:rPr/>
      </w:pPr>
      <w:r>
        <w:rPr/>
        <w:t>7. Exigences Techniques et Contraintes</w:t>
      </w:r>
    </w:p>
    <w:p>
      <w:pPr>
        <w:pStyle w:val="BodyText"/>
        <w:numPr>
          <w:ilvl w:val="0"/>
          <w:numId w:val="5"/>
        </w:numPr>
        <w:tabs>
          <w:tab w:val="left" w:pos="709" w:leader="none"/>
        </w:tabs>
        <w:bidi w:val="0"/>
        <w:spacing w:before="0" w:after="0"/>
        <w:ind w:hanging="283" w:left="709" w:right="0"/>
        <w:jc w:val="both"/>
        <w:rPr/>
      </w:pPr>
      <w:r>
        <w:rPr>
          <w:rStyle w:val="Strong"/>
        </w:rPr>
        <w:t>Stack technique</w:t>
      </w:r>
      <w:r>
        <w:rPr/>
        <w:t xml:space="preserve"> : PHP 8.x, Framework Laravel 11.x, Base de données MySQL, Frontend : Laravel Blade (avec Alpine.js ou Vue.js ciblé pour le dashboard).</w:t>
      </w:r>
    </w:p>
    <w:p>
      <w:pPr>
        <w:pStyle w:val="BodyText"/>
        <w:numPr>
          <w:ilvl w:val="0"/>
          <w:numId w:val="5"/>
        </w:numPr>
        <w:tabs>
          <w:tab w:val="left" w:pos="709" w:leader="none"/>
        </w:tabs>
        <w:bidi w:val="0"/>
        <w:spacing w:before="0" w:after="0"/>
        <w:ind w:hanging="283" w:left="709" w:right="0"/>
        <w:jc w:val="both"/>
        <w:rPr/>
      </w:pPr>
      <w:r>
        <w:rPr>
          <w:rStyle w:val="Strong"/>
        </w:rPr>
        <w:t>Hébergement</w:t>
      </w:r>
      <w:r>
        <w:rPr/>
        <w:t xml:space="preserve"> : Serveur interne de la banque (environnement de test local pour le stage).</w:t>
      </w:r>
    </w:p>
    <w:p>
      <w:pPr>
        <w:pStyle w:val="BodyText"/>
        <w:numPr>
          <w:ilvl w:val="0"/>
          <w:numId w:val="5"/>
        </w:numPr>
        <w:tabs>
          <w:tab w:val="left" w:pos="709" w:leader="none"/>
        </w:tabs>
        <w:bidi w:val="0"/>
        <w:spacing w:before="0" w:after="0"/>
        <w:ind w:hanging="283" w:left="709" w:right="0"/>
        <w:jc w:val="both"/>
        <w:rPr/>
      </w:pPr>
      <w:r>
        <w:rPr>
          <w:rStyle w:val="Strong"/>
        </w:rPr>
        <w:t>Sécurité</w:t>
      </w:r>
      <w:r>
        <w:rPr/>
        <w:t xml:space="preserve"> : Hachage des mots de passe (Bcrypt), protection CSRF, validation des entrées côté serveur, principe du moindre privilège pour les accès.</w:t>
      </w:r>
    </w:p>
    <w:p>
      <w:pPr>
        <w:pStyle w:val="BodyText"/>
        <w:numPr>
          <w:ilvl w:val="0"/>
          <w:numId w:val="5"/>
        </w:numPr>
        <w:tabs>
          <w:tab w:val="left" w:pos="709" w:leader="none"/>
        </w:tabs>
        <w:bidi w:val="0"/>
        <w:ind w:hanging="283" w:left="709" w:right="0"/>
        <w:jc w:val="both"/>
        <w:rPr/>
      </w:pPr>
      <w:r>
        <w:rPr>
          <w:rStyle w:val="Strong"/>
        </w:rPr>
        <w:t>Données de test</w:t>
      </w:r>
      <w:r>
        <w:rPr/>
        <w:t xml:space="preserve"> : Utilisation de Laravel Factories et Seeders pour générer automatiquement 50 clients et 100+ réclamations fictives pour la démonstration.</w:t>
      </w:r>
    </w:p>
    <w:p>
      <w:pPr>
        <w:pStyle w:val="Heading2"/>
        <w:bidi w:val="0"/>
        <w:ind w:hanging="0" w:left="0" w:right="0"/>
        <w:jc w:val="both"/>
        <w:rPr/>
      </w:pPr>
      <w:r>
        <w:rPr/>
        <w:t>8. Planning Prévisionnel (5 semaines)</w:t>
      </w:r>
    </w:p>
    <w:p>
      <w:pPr>
        <w:pStyle w:val="BodyText"/>
        <w:numPr>
          <w:ilvl w:val="0"/>
          <w:numId w:val="6"/>
        </w:numPr>
        <w:tabs>
          <w:tab w:val="left" w:pos="709" w:leader="none"/>
        </w:tabs>
        <w:bidi w:val="0"/>
        <w:spacing w:before="0" w:after="0"/>
        <w:ind w:hanging="283" w:left="709" w:right="0"/>
        <w:jc w:val="both"/>
        <w:rPr/>
      </w:pPr>
      <w:r>
        <w:rPr>
          <w:rStyle w:val="Strong"/>
        </w:rPr>
        <w:t>Semaine 3</w:t>
      </w:r>
      <w:r>
        <w:rPr/>
        <w:t xml:space="preserve"> : Finalisation CDC, Modélisation (MCD/MLD), Mise en place de l'environnement Laravel, Authentification et Seeders de base.</w:t>
      </w:r>
    </w:p>
    <w:p>
      <w:pPr>
        <w:pStyle w:val="BodyText"/>
        <w:numPr>
          <w:ilvl w:val="0"/>
          <w:numId w:val="6"/>
        </w:numPr>
        <w:tabs>
          <w:tab w:val="left" w:pos="709" w:leader="none"/>
        </w:tabs>
        <w:bidi w:val="0"/>
        <w:spacing w:before="0" w:after="0"/>
        <w:ind w:hanging="283" w:left="709" w:right="0"/>
        <w:jc w:val="both"/>
        <w:rPr/>
      </w:pPr>
      <w:r>
        <w:rPr>
          <w:rStyle w:val="Strong"/>
        </w:rPr>
        <w:t>Semaine 4</w:t>
      </w:r>
      <w:r>
        <w:rPr/>
        <w:t xml:space="preserve"> : Développement du CRUD Client, CRUD Réclamation, et moteur de Workflow avec historisation.</w:t>
      </w:r>
    </w:p>
    <w:p>
      <w:pPr>
        <w:pStyle w:val="BodyText"/>
        <w:numPr>
          <w:ilvl w:val="0"/>
          <w:numId w:val="6"/>
        </w:numPr>
        <w:tabs>
          <w:tab w:val="left" w:pos="709" w:leader="none"/>
        </w:tabs>
        <w:bidi w:val="0"/>
        <w:spacing w:before="0" w:after="0"/>
        <w:ind w:hanging="283" w:left="709" w:right="0"/>
        <w:jc w:val="both"/>
        <w:rPr/>
      </w:pPr>
      <w:r>
        <w:rPr>
          <w:rStyle w:val="Strong"/>
        </w:rPr>
        <w:t>Semaine 5</w:t>
      </w:r>
      <w:r>
        <w:rPr/>
        <w:t xml:space="preserve"> : Développement du Tableau de bord, implémentation de la logique SLA, tests d'intégration.</w:t>
      </w:r>
    </w:p>
    <w:p>
      <w:pPr>
        <w:pStyle w:val="BodyText"/>
        <w:numPr>
          <w:ilvl w:val="0"/>
          <w:numId w:val="6"/>
        </w:numPr>
        <w:tabs>
          <w:tab w:val="left" w:pos="709" w:leader="none"/>
        </w:tabs>
        <w:bidi w:val="0"/>
        <w:ind w:hanging="283" w:left="709" w:right="0"/>
        <w:jc w:val="both"/>
        <w:rPr/>
      </w:pPr>
      <w:r>
        <w:rPr>
          <w:rStyle w:val="Strong"/>
        </w:rPr>
        <w:t>Semaine 6</w:t>
      </w:r>
      <w:r>
        <w:rPr/>
        <w:t xml:space="preserve"> : Rédaction du manuel utilisateur et du rapport de conception, livraison finale.</w:t>
      </w:r>
    </w:p>
    <w:p>
      <w:pPr>
        <w:pStyle w:val="Heading2"/>
        <w:bidi w:val="0"/>
        <w:ind w:hanging="0" w:left="0" w:right="0"/>
        <w:jc w:val="both"/>
        <w:rPr/>
      </w:pPr>
      <w:r>
        <w:rPr/>
        <w:t>9. Livrables Attendus</w:t>
      </w:r>
    </w:p>
    <w:p>
      <w:pPr>
        <w:pStyle w:val="BodyText"/>
        <w:numPr>
          <w:ilvl w:val="0"/>
          <w:numId w:val="7"/>
        </w:numPr>
        <w:tabs>
          <w:tab w:val="left" w:pos="709" w:leader="none"/>
        </w:tabs>
        <w:bidi w:val="0"/>
        <w:spacing w:before="0" w:after="0"/>
        <w:ind w:hanging="283" w:left="709" w:right="0"/>
        <w:jc w:val="both"/>
        <w:rPr/>
      </w:pPr>
      <w:r>
        <w:rPr/>
        <w:t>Ce Cahier des Charges validé.</w:t>
      </w:r>
    </w:p>
    <w:p>
      <w:pPr>
        <w:pStyle w:val="BodyText"/>
        <w:numPr>
          <w:ilvl w:val="0"/>
          <w:numId w:val="7"/>
        </w:numPr>
        <w:tabs>
          <w:tab w:val="left" w:pos="709" w:leader="none"/>
        </w:tabs>
        <w:bidi w:val="0"/>
        <w:spacing w:before="0" w:after="0"/>
        <w:ind w:hanging="283" w:left="709" w:right="0"/>
        <w:jc w:val="both"/>
        <w:rPr/>
      </w:pPr>
      <w:r>
        <w:rPr/>
        <w:t>Modèle Conceptuel de Données (MCD).</w:t>
      </w:r>
    </w:p>
    <w:p>
      <w:pPr>
        <w:pStyle w:val="BodyText"/>
        <w:numPr>
          <w:ilvl w:val="0"/>
          <w:numId w:val="7"/>
        </w:numPr>
        <w:tabs>
          <w:tab w:val="left" w:pos="709" w:leader="none"/>
        </w:tabs>
        <w:bidi w:val="0"/>
        <w:spacing w:before="0" w:after="0"/>
        <w:ind w:hanging="283" w:left="709" w:right="0"/>
        <w:jc w:val="both"/>
        <w:rPr/>
      </w:pPr>
      <w:r>
        <w:rPr/>
        <w:t>Script de création de la base de données MySQL (incluant les Seeders).</w:t>
      </w:r>
    </w:p>
    <w:p>
      <w:pPr>
        <w:pStyle w:val="BodyText"/>
        <w:numPr>
          <w:ilvl w:val="0"/>
          <w:numId w:val="7"/>
        </w:numPr>
        <w:tabs>
          <w:tab w:val="left" w:pos="709" w:leader="none"/>
        </w:tabs>
        <w:bidi w:val="0"/>
        <w:spacing w:before="0" w:after="0"/>
        <w:ind w:hanging="283" w:left="709" w:right="0"/>
        <w:jc w:val="both"/>
        <w:rPr/>
      </w:pPr>
      <w:r>
        <w:rPr/>
        <w:t>Code source de l'application web fonctionnelle (dépôt Git).</w:t>
      </w:r>
    </w:p>
    <w:p>
      <w:pPr>
        <w:pStyle w:val="BodyText"/>
        <w:numPr>
          <w:ilvl w:val="0"/>
          <w:numId w:val="7"/>
        </w:numPr>
        <w:tabs>
          <w:tab w:val="left" w:pos="709" w:leader="none"/>
        </w:tabs>
        <w:bidi w:val="0"/>
        <w:spacing w:before="0" w:after="0"/>
        <w:ind w:hanging="283" w:left="709" w:right="0"/>
        <w:jc w:val="both"/>
        <w:rPr/>
      </w:pPr>
      <w:r>
        <w:rPr/>
        <w:t>Manuel utilisateur (PDF).</w:t>
      </w:r>
    </w:p>
    <w:p>
      <w:pPr>
        <w:pStyle w:val="BodyText"/>
        <w:numPr>
          <w:ilvl w:val="0"/>
          <w:numId w:val="7"/>
        </w:numPr>
        <w:tabs>
          <w:tab w:val="left" w:pos="709" w:leader="none"/>
        </w:tabs>
        <w:bidi w:val="0"/>
        <w:spacing w:before="0" w:after="0"/>
        <w:ind w:hanging="283" w:left="709" w:right="0"/>
        <w:jc w:val="both"/>
        <w:rPr/>
      </w:pPr>
      <w:r>
        <w:rPr/>
        <w:t>Rapport de conception technique (PDF).</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w:color w:val="auto"/>
      <w:kern w:val="2"/>
      <w:sz w:val="24"/>
      <w:szCs w:val="24"/>
      <w:lang w:val="en-CA"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w:b/>
      <w:bCs/>
      <w:sz w:val="28"/>
      <w:szCs w:val="2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LibreOffice/26.2.4.2$Linux_X86_64 LibreOffice_project/0229ac93fcf0d7cbc6376066c6f35021cef002dc</Application>
  <AppVersion>15.0000</AppVersion>
  <Pages>3</Pages>
  <Words>709</Words>
  <Characters>3983</Characters>
  <CharactersWithSpaces>4601</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2026-08-03T11:54:25Z</dcterms:created>
  <dc:creator/>
  <dc:description/>
  <dc:language>en-CA</dc:language>
  <cp:lastModifiedBy/>
  <dcterms:modified xsi:type="dcterms:W3CDTF">2026-08-03T14:57:51Z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