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BB4836" w14:textId="77777777">
      <w:pPr>
        <w:pBdr/>
        <w:spacing/>
        <w:ind w:firstLine="851" w:left="-567"/>
        <w:rPr/>
      </w:pPr>
      <w:r/>
      <w:r/>
    </w:p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  <w:textDirection w:val="lrTb"/>
            <w:noWrap w:val="false"/>
          </w:tcPr>
          <w:p w14:paraId="27CDFF9C" w14:textId="290467E4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 w14:paraId="24D3BBCC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9D83675" w14:textId="21705F63"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Построение карты рисков и ролевой модели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26AE0CEF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7E32EBE9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  <w:textDirection w:val="lrTb"/>
            <w:noWrap w:val="false"/>
          </w:tcPr>
          <w:p w14:paraId="1A749F76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07163469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79E54FA5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03ACAB9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123F5AE8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238F3FB7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1B65C22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29D667CD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2158F333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  <w:textDirection w:val="lrTb"/>
            <w:noWrap w:val="false"/>
          </w:tcPr>
          <w:p w14:paraId="1F45A97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  <w:textDirection w:val="lrTb"/>
            <w:noWrap w:val="false"/>
          </w:tcPr>
          <w:p w14:paraId="4E8262F0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  <w:textDirection w:val="lrTb"/>
            <w:noWrap w:val="false"/>
          </w:tcPr>
          <w:p w14:paraId="7B1A79EF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428D3762"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Цель работы</w:t>
      </w:r>
      <w:r>
        <w:rPr>
          <w:b w:val="0"/>
          <w:bCs w:val="0"/>
          <w:sz w:val="28"/>
          <w:szCs w:val="28"/>
        </w:rPr>
      </w:r>
    </w:p>
    <w:p w14:paraId="7A833F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Приобретение практических навыков построения комплексной карты рисков и эффективной ролевой модели для успешного управления проектом. </w:t>
      </w:r>
      <w:r>
        <w:rPr>
          <w:b w:val="0"/>
          <w:bCs w:val="0"/>
          <w:sz w:val="28"/>
          <w:szCs w:val="28"/>
        </w:rPr>
      </w:r>
    </w:p>
    <w:p w14:paraId="29D6E723"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Задачи работы</w:t>
      </w:r>
      <w:r>
        <w:rPr>
          <w:b w:val="0"/>
          <w:bCs w:val="0"/>
          <w:sz w:val="28"/>
          <w:szCs w:val="28"/>
        </w:rPr>
      </w:r>
    </w:p>
    <w:p w14:paraId="3A25D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рамках лабораторной работы необходимо:</w:t>
      </w:r>
      <w:r>
        <w:rPr>
          <w:b w:val="0"/>
          <w:bCs w:val="0"/>
          <w:sz w:val="28"/>
          <w:szCs w:val="28"/>
        </w:rPr>
      </w:r>
    </w:p>
    <w:p w14:paraId="51A19784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идентифицировать и классифицировать риски проекта;</w:t>
      </w:r>
      <w:r>
        <w:rPr>
          <w:b w:val="0"/>
          <w:bCs w:val="0"/>
          <w:sz w:val="28"/>
          <w:szCs w:val="28"/>
        </w:rPr>
      </w:r>
    </w:p>
    <w:p w14:paraId="03AF31AC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провести качественный и количественный анализ рисков;</w:t>
      </w:r>
      <w:r>
        <w:rPr>
          <w:b w:val="0"/>
          <w:bCs w:val="0"/>
          <w:sz w:val="28"/>
          <w:szCs w:val="28"/>
        </w:rPr>
      </w:r>
    </w:p>
    <w:p w14:paraId="510A6AAD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распределить ответственность за управление рисками;</w:t>
      </w:r>
      <w:r>
        <w:rPr>
          <w:b w:val="0"/>
          <w:bCs w:val="0"/>
          <w:sz w:val="28"/>
          <w:szCs w:val="28"/>
        </w:rPr>
      </w:r>
    </w:p>
    <w:p w14:paraId="3D9FBADE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разработать меры реагирования на ключевые риски;</w:t>
      </w:r>
      <w:r>
        <w:rPr>
          <w:b w:val="0"/>
          <w:bCs w:val="0"/>
          <w:sz w:val="28"/>
          <w:szCs w:val="28"/>
        </w:rPr>
      </w:r>
    </w:p>
    <w:p w14:paraId="4335E45F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задокументировать результаты управления рисками. </w:t>
      </w:r>
      <w:r>
        <w:rPr>
          <w:b w:val="0"/>
          <w:bCs w:val="0"/>
          <w:sz w:val="28"/>
          <w:szCs w:val="28"/>
        </w:rPr>
      </w:r>
    </w:p>
    <w:p w14:paraId="382B2E8D"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Ход работы</w:t>
      </w:r>
      <w:r>
        <w:rPr>
          <w:b w:val="0"/>
          <w:bCs w:val="0"/>
          <w:sz w:val="28"/>
          <w:szCs w:val="28"/>
        </w:rPr>
      </w:r>
    </w:p>
    <w:p w14:paraId="48234B66"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Идентификация и классификация рисков</w:t>
      </w:r>
      <w:r>
        <w:rPr>
          <w:b w:val="0"/>
          <w:bCs w:val="0"/>
          <w:sz w:val="28"/>
          <w:szCs w:val="28"/>
        </w:rPr>
      </w:r>
    </w:p>
    <w:p w14:paraId="3D783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качестве объекта анализа был рассмотрен проект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онлайн-сервиса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На первом этапе были выделены основные категории рисков, характерные для данного проекта: технические, организационные, внешние и риски управления проектом. Такая классификация соответствует подходу, предложенному в методических материалах лабораторной 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аботы. </w:t>
      </w:r>
      <w:r>
        <w:rPr>
          <w:b w:val="0"/>
          <w:bCs w:val="0"/>
          <w:sz w:val="28"/>
          <w:szCs w:val="28"/>
        </w:rPr>
      </w:r>
    </w:p>
    <w:p w14:paraId="369C4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Далее был сформирован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реестр рисков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включающий риски, связанные с нечеткостью требований, изменением ожиданий пользователей, качеством пользовательских референсов, качеством работы модели, интеграцией backend и ML-модуля, производительностью сервиса, устойчивостью инфраструктуры, срывом ср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оков из-за учебной загрузки команды, нехваткой компетенций, ошибками планирования, проблемами коммуникации и внешними ограничениями.</w:t>
      </w:r>
      <w:r>
        <w:rPr>
          <w:b w:val="0"/>
          <w:bCs w:val="0"/>
          <w:sz w:val="28"/>
          <w:szCs w:val="28"/>
        </w:rPr>
      </w:r>
    </w:p>
    <w:p w14:paraId="73282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каждого риска были указаны:</w:t>
      </w:r>
      <w:r>
        <w:rPr>
          <w:b w:val="0"/>
          <w:bCs w:val="0"/>
          <w:sz w:val="28"/>
          <w:szCs w:val="28"/>
        </w:rPr>
      </w:r>
    </w:p>
    <w:p w14:paraId="6C2E7653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название риска;</w:t>
      </w:r>
      <w:r>
        <w:rPr>
          <w:b w:val="0"/>
          <w:bCs w:val="0"/>
          <w:sz w:val="28"/>
          <w:szCs w:val="28"/>
        </w:rPr>
      </w:r>
    </w:p>
    <w:p w14:paraId="4E4BB9A2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причины возникновения;</w:t>
      </w:r>
      <w:r>
        <w:rPr>
          <w:b w:val="0"/>
          <w:bCs w:val="0"/>
          <w:sz w:val="28"/>
          <w:szCs w:val="28"/>
        </w:rPr>
      </w:r>
    </w:p>
    <w:p w14:paraId="678E018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категория;</w:t>
      </w:r>
      <w:r>
        <w:rPr>
          <w:b w:val="0"/>
          <w:bCs w:val="0"/>
          <w:sz w:val="28"/>
          <w:szCs w:val="28"/>
        </w:rPr>
      </w:r>
    </w:p>
    <w:p w14:paraId="66FE2E9E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вероятность наступления;</w:t>
      </w:r>
      <w:r>
        <w:rPr>
          <w:b w:val="0"/>
          <w:bCs w:val="0"/>
          <w:sz w:val="28"/>
          <w:szCs w:val="28"/>
        </w:rPr>
      </w:r>
    </w:p>
    <w:p w14:paraId="3C1BDA7A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влияние на проект;</w:t>
      </w:r>
      <w:r>
        <w:rPr>
          <w:b w:val="0"/>
          <w:bCs w:val="0"/>
          <w:sz w:val="28"/>
          <w:szCs w:val="28"/>
        </w:rPr>
      </w:r>
    </w:p>
    <w:p w14:paraId="5DCDFB0E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итоговая оценка по формуле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 × 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</w:t>
      </w:r>
      <w:r>
        <w:rPr>
          <w:b w:val="0"/>
          <w:bCs w:val="0"/>
          <w:sz w:val="28"/>
          <w:szCs w:val="28"/>
        </w:rPr>
      </w:r>
    </w:p>
    <w:p w14:paraId="323D5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 оценке использовались веса вероятности и влияния, предусмотренные в задании лабораторной работы. Это позволило провести унифицированную балльную оценку рисков и отсортировать их по степени значимости.</w:t>
      </w:r>
      <w:r>
        <w:rPr>
          <w:b w:val="0"/>
          <w:bCs w:val="0"/>
          <w:sz w:val="28"/>
          <w:szCs w:val="28"/>
        </w:rPr>
      </w:r>
    </w:p>
    <w:p w14:paraId="1F7183E1"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Качественный и количественный анализ рисков</w:t>
      </w:r>
      <w:r>
        <w:rPr>
          <w:b w:val="0"/>
          <w:bCs w:val="0"/>
          <w:sz w:val="28"/>
          <w:szCs w:val="28"/>
        </w:rPr>
      </w:r>
    </w:p>
    <w:p w14:paraId="50B9D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заполнения реестра рисков была рассчитана суммарная оценка рисков проекта. По результатам анализа сумма баллов составила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13,76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что соответствует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поправке на риск 10%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согласно шкале, приведённой в методических указаниях. </w:t>
      </w:r>
      <w:r>
        <w:rPr>
          <w:b w:val="0"/>
          <w:bCs w:val="0"/>
          <w:sz w:val="28"/>
          <w:szCs w:val="28"/>
        </w:rPr>
      </w:r>
    </w:p>
    <w:p w14:paraId="3EE8B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основании этого была выполнена корректировка плановых параметров проекта:</w:t>
      </w:r>
      <w:r>
        <w:rPr>
          <w:b w:val="0"/>
          <w:bCs w:val="0"/>
          <w:sz w:val="28"/>
          <w:szCs w:val="28"/>
        </w:rPr>
      </w:r>
    </w:p>
    <w:p w14:paraId="46969C51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исходный срок реализации проекта составлял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78 календарных дней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b w:val="0"/>
          <w:bCs w:val="0"/>
          <w:sz w:val="28"/>
          <w:szCs w:val="28"/>
        </w:rPr>
      </w:r>
    </w:p>
    <w:p w14:paraId="6C8FAD29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учетом поправки на риск срок увеличивается до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86 дней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b w:val="0"/>
          <w:bCs w:val="0"/>
          <w:sz w:val="28"/>
          <w:szCs w:val="28"/>
        </w:rPr>
      </w:r>
    </w:p>
    <w:p w14:paraId="491735C6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исходный бюджет проекта составлял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2 451 262,84 руб.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b w:val="0"/>
          <w:bCs w:val="0"/>
          <w:sz w:val="28"/>
          <w:szCs w:val="28"/>
        </w:rPr>
      </w:r>
    </w:p>
    <w:p w14:paraId="40558AC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с учетом поправки на риск бюджет составляет около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2 696 389,12 руб.</w:t>
      </w:r>
      <w:r>
        <w:rPr>
          <w:b w:val="0"/>
          <w:bCs w:val="0"/>
          <w:sz w:val="28"/>
          <w:szCs w:val="28"/>
        </w:rPr>
      </w:r>
    </w:p>
    <w:p w14:paraId="4F8DF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Таким образом, анализ показал необходимость закладывать резерв времени и бюджета для компенсации наиболее вероятных и наиболее значимых рисков.</w:t>
      </w:r>
      <w:r>
        <w:rPr>
          <w:b w:val="0"/>
          <w:bCs w:val="0"/>
          <w:sz w:val="28"/>
          <w:szCs w:val="28"/>
        </w:rPr>
      </w:r>
    </w:p>
    <w:p w14:paraId="41036E9D"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Разработка мер реагирования на риски</w:t>
      </w:r>
      <w:r>
        <w:rPr>
          <w:b w:val="0"/>
          <w:bCs w:val="0"/>
          <w:sz w:val="28"/>
          <w:szCs w:val="28"/>
        </w:rPr>
      </w:r>
    </w:p>
    <w:p w14:paraId="2A837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После ранжирования рисков были определены ключевые риски, требующие первоочередного внимания. Для наиболее значимых рисков были разработаны меры предотвращения и реагирования. В их число вошли:</w:t>
      </w:r>
      <w:r>
        <w:rPr>
          <w:b w:val="0"/>
          <w:bCs w:val="0"/>
          <w:sz w:val="28"/>
          <w:szCs w:val="28"/>
        </w:rPr>
      </w:r>
    </w:p>
    <w:p w14:paraId="162370F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уточнение и фиксация требований;</w:t>
      </w:r>
      <w:r>
        <w:rPr>
          <w:b w:val="0"/>
          <w:bCs w:val="0"/>
          <w:sz w:val="28"/>
          <w:szCs w:val="28"/>
        </w:rPr>
      </w:r>
    </w:p>
    <w:p w14:paraId="6A90FEAC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прототипирование решения на раннем этапе;</w:t>
      </w:r>
      <w:r>
        <w:rPr>
          <w:b w:val="0"/>
          <w:bCs w:val="0"/>
          <w:sz w:val="28"/>
          <w:szCs w:val="28"/>
        </w:rPr>
      </w:r>
    </w:p>
    <w:p w14:paraId="4450D971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регулярное согласование изменений с заказчиком;</w:t>
      </w:r>
      <w:r>
        <w:rPr>
          <w:b w:val="0"/>
          <w:bCs w:val="0"/>
          <w:sz w:val="28"/>
          <w:szCs w:val="28"/>
        </w:rPr>
      </w:r>
    </w:p>
    <w:p w14:paraId="7964C8AF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резервирование времени на доработки;</w:t>
      </w:r>
      <w:r>
        <w:rPr>
          <w:b w:val="0"/>
          <w:bCs w:val="0"/>
          <w:sz w:val="28"/>
          <w:szCs w:val="28"/>
        </w:rPr>
      </w:r>
    </w:p>
    <w:p w14:paraId="77B25995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 качества стилизации на контрольных наборах изображений;</w:t>
      </w:r>
      <w:r>
        <w:rPr>
          <w:b w:val="0"/>
          <w:bCs w:val="0"/>
          <w:sz w:val="28"/>
          <w:szCs w:val="28"/>
        </w:rPr>
      </w:r>
    </w:p>
    <w:p w14:paraId="5FA520A2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контроль качества пользовательских референсов;</w:t>
      </w:r>
      <w:r>
        <w:rPr>
          <w:b w:val="0"/>
          <w:bCs w:val="0"/>
          <w:sz w:val="28"/>
          <w:szCs w:val="28"/>
        </w:rPr>
      </w:r>
    </w:p>
    <w:p w14:paraId="559EABF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раннее тестирование интеграции backend и ML-модуля;</w:t>
      </w:r>
      <w:r>
        <w:rPr>
          <w:b w:val="0"/>
          <w:bCs w:val="0"/>
          <w:sz w:val="28"/>
          <w:szCs w:val="28"/>
        </w:rPr>
      </w:r>
    </w:p>
    <w:p w14:paraId="3CEDBF6D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мониторинг нагрузки на серверную инфраструктуру;</w:t>
      </w:r>
      <w:r>
        <w:rPr>
          <w:b w:val="0"/>
          <w:bCs w:val="0"/>
          <w:sz w:val="28"/>
          <w:szCs w:val="28"/>
        </w:rPr>
      </w:r>
    </w:p>
    <w:p w14:paraId="6B1E6804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распределение критичных знаний между участниками команды;</w:t>
      </w:r>
      <w:r>
        <w:rPr>
          <w:b w:val="0"/>
          <w:bCs w:val="0"/>
          <w:sz w:val="28"/>
          <w:szCs w:val="28"/>
        </w:rPr>
      </w:r>
    </w:p>
    <w:p w14:paraId="57676A01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ведение проектной и технической документации по ходу разработки. </w:t>
      </w:r>
      <w:r>
        <w:rPr>
          <w:b w:val="0"/>
          <w:bCs w:val="0"/>
          <w:sz w:val="28"/>
          <w:szCs w:val="28"/>
        </w:rPr>
      </w:r>
    </w:p>
    <w:p w14:paraId="4963E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Применение таких мер позволяет либо снизить вероятность наступления риска, либо уменьшить негативные последствия для проекта.</w:t>
      </w:r>
      <w:r>
        <w:rPr>
          <w:b w:val="0"/>
          <w:bCs w:val="0"/>
          <w:sz w:val="28"/>
          <w:szCs w:val="28"/>
        </w:rPr>
      </w:r>
    </w:p>
    <w:p w14:paraId="6B452DEA">
      <w:pPr>
        <w:pStyle w:val="9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Построение ролевой модели</w:t>
      </w:r>
      <w:r>
        <w:rPr>
          <w:b w:val="0"/>
          <w:bCs w:val="0"/>
          <w:sz w:val="28"/>
          <w:szCs w:val="28"/>
        </w:rPr>
      </w:r>
    </w:p>
    <w:p w14:paraId="26EEA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распределения ответственности за управление ключевыми рисками была использована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RACI-матрица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В матрице были адаптированы роли под фактический состав команды проекта:</w:t>
      </w:r>
      <w:r>
        <w:rPr>
          <w:b w:val="0"/>
          <w:bCs w:val="0"/>
          <w:sz w:val="28"/>
          <w:szCs w:val="28"/>
        </w:rPr>
      </w:r>
    </w:p>
    <w:p w14:paraId="1191A4B8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руководитель проекта;</w:t>
      </w:r>
      <w:r>
        <w:rPr>
          <w:b w:val="0"/>
          <w:bCs w:val="0"/>
          <w:sz w:val="28"/>
          <w:szCs w:val="28"/>
        </w:rPr>
      </w:r>
    </w:p>
    <w:p w14:paraId="7FF4D591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бизнес-аналитик / системный аналитик;</w:t>
      </w:r>
      <w:r>
        <w:rPr>
          <w:b w:val="0"/>
          <w:bCs w:val="0"/>
          <w:sz w:val="28"/>
          <w:szCs w:val="28"/>
        </w:rPr>
      </w:r>
    </w:p>
    <w:p w14:paraId="28C5D88D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backend-разработчик;</w:t>
      </w:r>
      <w:r>
        <w:rPr>
          <w:b w:val="0"/>
          <w:bCs w:val="0"/>
          <w:sz w:val="28"/>
          <w:szCs w:val="28"/>
        </w:rPr>
      </w:r>
    </w:p>
    <w:p w14:paraId="4B2C2138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frontend-разработчик;</w:t>
      </w:r>
      <w:r>
        <w:rPr>
          <w:b w:val="0"/>
          <w:bCs w:val="0"/>
          <w:sz w:val="28"/>
          <w:szCs w:val="28"/>
        </w:rPr>
      </w:r>
    </w:p>
    <w:p w14:paraId="388B41B6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ML-инженер;</w:t>
      </w:r>
      <w:r>
        <w:rPr>
          <w:b w:val="0"/>
          <w:bCs w:val="0"/>
          <w:sz w:val="28"/>
          <w:szCs w:val="28"/>
        </w:rPr>
      </w:r>
    </w:p>
    <w:p w14:paraId="16F0EBCA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UX/UI-дизайнер;</w:t>
      </w:r>
      <w:r>
        <w:rPr>
          <w:b w:val="0"/>
          <w:bCs w:val="0"/>
          <w:sz w:val="28"/>
          <w:szCs w:val="28"/>
        </w:rPr>
      </w:r>
    </w:p>
    <w:p w14:paraId="1BFD026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тестировщик;</w:t>
      </w:r>
      <w:r>
        <w:rPr>
          <w:b w:val="0"/>
          <w:bCs w:val="0"/>
          <w:sz w:val="28"/>
          <w:szCs w:val="28"/>
        </w:rPr>
      </w:r>
    </w:p>
    <w:p w14:paraId="555E82B0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заказчик / представитель пользователя;</w:t>
      </w:r>
      <w:r>
        <w:rPr>
          <w:b w:val="0"/>
          <w:bCs w:val="0"/>
          <w:sz w:val="28"/>
          <w:szCs w:val="28"/>
        </w:rPr>
      </w:r>
    </w:p>
    <w:p w14:paraId="14D3C2B4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спонсор проекта.</w:t>
      </w:r>
      <w:r>
        <w:rPr>
          <w:b w:val="0"/>
          <w:bCs w:val="0"/>
          <w:sz w:val="28"/>
          <w:szCs w:val="28"/>
        </w:rPr>
      </w:r>
    </w:p>
    <w:p w14:paraId="2801A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наиболее значимых рисков были определены:</w:t>
      </w:r>
      <w:r>
        <w:rPr>
          <w:b w:val="0"/>
          <w:bCs w:val="0"/>
          <w:sz w:val="28"/>
          <w:szCs w:val="28"/>
        </w:rPr>
      </w:r>
    </w:p>
    <w:p w14:paraId="306E6D19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 (Responsible)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исполнитель, выполняющий действия по управлению риском; </w:t>
      </w:r>
      <w:r>
        <w:rPr>
          <w:b w:val="0"/>
          <w:bCs w:val="0"/>
          <w:sz w:val="28"/>
          <w:szCs w:val="28"/>
        </w:rPr>
      </w:r>
    </w:p>
    <w:p w14:paraId="164F681C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 (Accountable)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ответственный за итоговый результат; </w:t>
      </w:r>
      <w:r>
        <w:rPr>
          <w:b w:val="0"/>
          <w:bCs w:val="0"/>
          <w:sz w:val="28"/>
          <w:szCs w:val="28"/>
        </w:rPr>
      </w:r>
    </w:p>
    <w:p w14:paraId="53F3C7E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 (Consulted)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консультирующие участники; </w:t>
      </w:r>
      <w:r>
        <w:rPr>
          <w:b w:val="0"/>
          <w:bCs w:val="0"/>
          <w:sz w:val="28"/>
          <w:szCs w:val="28"/>
        </w:rPr>
      </w:r>
    </w:p>
    <w:p w14:paraId="3CB93087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 (Informed)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— информируемые стороны. </w:t>
      </w:r>
      <w:r>
        <w:rPr>
          <w:b w:val="0"/>
          <w:bCs w:val="0"/>
          <w:sz w:val="28"/>
          <w:szCs w:val="28"/>
        </w:rPr>
      </w:r>
    </w:p>
    <w:p w14:paraId="2D0C8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RACI-матрицы позволило определить зоны ответственности и исключить неопределенность при реагировании на ключевые риски проекта.</w:t>
      </w:r>
      <w:r>
        <w:rPr>
          <w:b w:val="0"/>
          <w:bCs w:val="0"/>
          <w:sz w:val="28"/>
          <w:szCs w:val="28"/>
        </w:rPr>
      </w:r>
    </w:p>
    <w:p w14:paraId="04BDE62A"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Вывод</w:t>
      </w:r>
      <w:r>
        <w:rPr>
          <w:b w:val="0"/>
          <w:bCs w:val="0"/>
          <w:sz w:val="28"/>
          <w:szCs w:val="28"/>
        </w:rPr>
      </w:r>
    </w:p>
    <w:p w14:paraId="13B96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ходе выполнения лабораторной работы №3 была построена карта рисков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онлайн-сервиса ИИ-редактирования изображений с функцией переноса пользовательского стиля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сформирована ролевая модель управления рисками.</w:t>
      </w:r>
      <w:r>
        <w:rPr>
          <w:b w:val="0"/>
          <w:bCs w:val="0"/>
          <w:sz w:val="28"/>
          <w:szCs w:val="28"/>
        </w:rPr>
      </w:r>
    </w:p>
    <w:p w14:paraId="34B8D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 результате работы были:</w:t>
      </w:r>
      <w:r>
        <w:rPr>
          <w:b w:val="0"/>
          <w:bCs w:val="0"/>
          <w:sz w:val="28"/>
          <w:szCs w:val="28"/>
        </w:rPr>
      </w:r>
    </w:p>
    <w:p w14:paraId="75B017A5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выявлены и классифицированы риски проекта;</w:t>
      </w:r>
      <w:r>
        <w:rPr>
          <w:b w:val="0"/>
          <w:bCs w:val="0"/>
          <w:sz w:val="28"/>
          <w:szCs w:val="28"/>
        </w:rPr>
      </w:r>
    </w:p>
    <w:p w14:paraId="30E399E3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проведена их балльная оценка;</w:t>
      </w:r>
      <w:r>
        <w:rPr>
          <w:b w:val="0"/>
          <w:bCs w:val="0"/>
          <w:sz w:val="28"/>
          <w:szCs w:val="28"/>
        </w:rPr>
      </w:r>
    </w:p>
    <w:p w14:paraId="10306EAA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рассчитана поправка на риск;</w:t>
      </w:r>
      <w:r>
        <w:rPr>
          <w:b w:val="0"/>
          <w:bCs w:val="0"/>
          <w:sz w:val="28"/>
          <w:szCs w:val="28"/>
        </w:rPr>
      </w:r>
    </w:p>
    <w:p w14:paraId="2D71941B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скорректированы сроки и стоимость проекта с учетом риска;</w:t>
      </w:r>
      <w:r>
        <w:rPr>
          <w:b w:val="0"/>
          <w:bCs w:val="0"/>
          <w:sz w:val="28"/>
          <w:szCs w:val="28"/>
        </w:rPr>
      </w:r>
    </w:p>
    <w:p w14:paraId="0F596164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определены меры реагирования на ключевые риски;</w:t>
      </w:r>
      <w:r>
        <w:rPr>
          <w:b w:val="0"/>
          <w:bCs w:val="0"/>
          <w:sz w:val="28"/>
          <w:szCs w:val="28"/>
        </w:rPr>
      </w:r>
    </w:p>
    <w:p w14:paraId="2EFA2C19">
      <w:pPr>
        <w:pStyle w:val="9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распределена ответственность между участниками команды с использованием RACI-матрицы.</w:t>
      </w:r>
      <w:r>
        <w:rPr>
          <w:b w:val="0"/>
          <w:bCs w:val="0"/>
          <w:sz w:val="28"/>
          <w:szCs w:val="28"/>
        </w:rPr>
      </w:r>
    </w:p>
    <w:p w14:paraId="44D53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Выполнение лабораторной работы позволило закрепить навыки риск-анализа, планирования мер реагирования и распределения ответственности в проекте.</w:t>
      </w:r>
      <w:r>
        <w:rPr>
          <w:b w:val="0"/>
          <w:bCs w:val="0"/>
          <w:sz w:val="28"/>
          <w:szCs w:val="28"/>
        </w:rPr>
      </w:r>
    </w:p>
    <w:p w14:paraId="315F8462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Roboto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D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F734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2440E9D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028F53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4A149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8A54F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8C766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D8552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F740B1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2196A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64207C4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FBF76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41D02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440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35AA02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35E24D5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3CAA10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43B64D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479B48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B51367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nsid w:val="5A23342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nsid w:val="5BE47E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nsid w:val="5C2D68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54D09B3"/>
    <w:lvl w:ilvl="0">
      <w:isLgl w:val="false"/>
      <w:lvlJc w:val="left"/>
      <w:lvlText w:val="%1)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24">
    <w:nsid w:val="761551D7"/>
    <w:lvl w:ilvl="0">
      <w:isLgl w:val="false"/>
      <w:lvlJc w:val="left"/>
      <w:lvlText w:val="%1.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25">
    <w:nsid w:val="774741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88420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D614C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D9477C7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nsid w:val="7E28259E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30">
    <w:nsid w:val="7E7E6E35"/>
    <w:lvl w:ilvl="0">
      <w:isLgl w:val="false"/>
      <w:lvlJc w:val="left"/>
      <w:lvlText w:val="%1)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31">
    <w:nsid w:val="7F250C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F441C14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33">
    <w:nsid w:val="040BE0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4"/>
  </w:num>
  <w:num w:numId="2">
    <w:abstractNumId w:val="8"/>
  </w:num>
  <w:num w:numId="3">
    <w:abstractNumId w:val="32"/>
  </w:num>
  <w:num w:numId="4">
    <w:abstractNumId w:val="22"/>
  </w:num>
  <w:num w:numId="5">
    <w:abstractNumId w:val="29"/>
  </w:num>
  <w:num w:numId="6">
    <w:abstractNumId w:val="30"/>
  </w:num>
  <w:num w:numId="7">
    <w:abstractNumId w:val="2"/>
  </w:num>
  <w:num w:numId="8">
    <w:abstractNumId w:val="20"/>
  </w:num>
  <w:num w:numId="9">
    <w:abstractNumId w:val="19"/>
  </w:num>
  <w:num w:numId="10">
    <w:abstractNumId w:val="28"/>
  </w:num>
  <w:num w:numId="11">
    <w:abstractNumId w:val="21"/>
  </w:num>
  <w:num w:numId="12">
    <w:abstractNumId w:val="10"/>
  </w:num>
  <w:num w:numId="13">
    <w:abstractNumId w:val="1"/>
  </w:num>
  <w:num w:numId="14">
    <w:abstractNumId w:val="0"/>
  </w:num>
  <w:num w:numId="15">
    <w:abstractNumId w:val="26"/>
  </w:num>
  <w:num w:numId="16">
    <w:abstractNumId w:val="6"/>
  </w:num>
  <w:num w:numId="17">
    <w:abstractNumId w:val="25"/>
  </w:num>
  <w:num w:numId="18">
    <w:abstractNumId w:val="13"/>
  </w:num>
  <w:num w:numId="19">
    <w:abstractNumId w:val="9"/>
  </w:num>
  <w:num w:numId="20">
    <w:abstractNumId w:val="15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7"/>
  </w:num>
  <w:num w:numId="26">
    <w:abstractNumId w:val="5"/>
  </w:num>
  <w:num w:numId="27">
    <w:abstractNumId w:val="12"/>
  </w:num>
  <w:num w:numId="28">
    <w:abstractNumId w:val="4"/>
  </w:num>
  <w:num w:numId="29">
    <w:abstractNumId w:val="31"/>
  </w:num>
  <w:num w:numId="30">
    <w:abstractNumId w:val="16"/>
  </w:num>
  <w:num w:numId="31">
    <w:abstractNumId w:val="3"/>
  </w:num>
  <w:num w:numId="32">
    <w:abstractNumId w:val="27"/>
  </w:num>
  <w:num w:numId="33">
    <w:abstractNumId w:val="18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 Light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2">
    <w:name w:val="Heading 1 Char"/>
    <w:basedOn w:val="946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946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946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946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946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946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946"/>
    <w:link w:val="9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946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946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946"/>
    <w:link w:val="9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2">
    <w:name w:val="Subtitle Char"/>
    <w:basedOn w:val="946"/>
    <w:link w:val="9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Quote Char"/>
    <w:basedOn w:val="946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Quote Char"/>
    <w:basedOn w:val="946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06">
    <w:name w:val="Subtle Emphasis"/>
    <w:basedOn w:val="9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94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94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9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9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6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946"/>
    <w:link w:val="911"/>
    <w:uiPriority w:val="99"/>
    <w:pPr>
      <w:pBdr/>
      <w:spacing/>
      <w:ind/>
    </w:pPr>
  </w:style>
  <w:style w:type="paragraph" w:styleId="913">
    <w:name w:val="Footer"/>
    <w:basedOn w:val="936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946"/>
    <w:link w:val="913"/>
    <w:uiPriority w:val="99"/>
    <w:pPr>
      <w:pBdr/>
      <w:spacing/>
      <w:ind/>
    </w:pPr>
  </w:style>
  <w:style w:type="paragraph" w:styleId="915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6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94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6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94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9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9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6"/>
    <w:next w:val="936"/>
    <w:uiPriority w:val="39"/>
    <w:unhideWhenUsed/>
    <w:pPr>
      <w:pBdr/>
      <w:spacing w:after="100"/>
      <w:ind/>
    </w:pPr>
  </w:style>
  <w:style w:type="paragraph" w:styleId="925">
    <w:name w:val="toc 2"/>
    <w:basedOn w:val="936"/>
    <w:next w:val="936"/>
    <w:uiPriority w:val="39"/>
    <w:unhideWhenUsed/>
    <w:pPr>
      <w:pBdr/>
      <w:spacing w:after="100"/>
      <w:ind w:left="220"/>
    </w:pPr>
  </w:style>
  <w:style w:type="paragraph" w:styleId="926">
    <w:name w:val="toc 3"/>
    <w:basedOn w:val="936"/>
    <w:next w:val="936"/>
    <w:uiPriority w:val="39"/>
    <w:unhideWhenUsed/>
    <w:pPr>
      <w:pBdr/>
      <w:spacing w:after="100"/>
      <w:ind w:left="440"/>
    </w:p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6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ru" w:eastAsia="ru-RU"/>
      <w14:ligatures w14:val="none"/>
    </w:rPr>
  </w:style>
  <w:style w:type="paragraph" w:styleId="937">
    <w:name w:val="Heading 1"/>
    <w:basedOn w:val="936"/>
    <w:next w:val="936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38">
    <w:name w:val="Heading 2"/>
    <w:basedOn w:val="936"/>
    <w:next w:val="936"/>
    <w:link w:val="95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39">
    <w:name w:val="Heading 3"/>
    <w:basedOn w:val="936"/>
    <w:next w:val="936"/>
    <w:link w:val="95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940">
    <w:name w:val="Heading 4"/>
    <w:basedOn w:val="936"/>
    <w:next w:val="936"/>
    <w:link w:val="95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41">
    <w:name w:val="Heading 5"/>
    <w:basedOn w:val="936"/>
    <w:next w:val="936"/>
    <w:link w:val="95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42">
    <w:name w:val="Heading 6"/>
    <w:basedOn w:val="936"/>
    <w:next w:val="936"/>
    <w:link w:val="95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3">
    <w:name w:val="Heading 7"/>
    <w:basedOn w:val="936"/>
    <w:next w:val="936"/>
    <w:link w:val="95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4">
    <w:name w:val="Heading 8"/>
    <w:basedOn w:val="936"/>
    <w:next w:val="936"/>
    <w:link w:val="95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5">
    <w:name w:val="Heading 9"/>
    <w:basedOn w:val="936"/>
    <w:next w:val="936"/>
    <w:link w:val="95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6" w:default="1">
    <w:name w:val="Default Paragraph Font"/>
    <w:uiPriority w:val="1"/>
    <w:semiHidden/>
    <w:unhideWhenUsed/>
    <w:pPr>
      <w:pBdr/>
      <w:spacing/>
      <w:ind/>
    </w:pPr>
  </w:style>
  <w:style w:type="table" w:styleId="9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character" w:styleId="949" w:customStyle="1">
    <w:name w:val="Заголовок 1 Знак"/>
    <w:basedOn w:val="946"/>
    <w:link w:val="93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50" w:customStyle="1">
    <w:name w:val="Заголовок 2 Знак"/>
    <w:basedOn w:val="946"/>
    <w:link w:val="93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51" w:customStyle="1">
    <w:name w:val="Заголовок 3 Знак"/>
    <w:basedOn w:val="946"/>
    <w:link w:val="93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52" w:customStyle="1">
    <w:name w:val="Заголовок 4 Знак"/>
    <w:basedOn w:val="946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53" w:customStyle="1">
    <w:name w:val="Заголовок 5 Знак"/>
    <w:basedOn w:val="946"/>
    <w:link w:val="94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54" w:customStyle="1">
    <w:name w:val="Заголовок 6 Знак"/>
    <w:basedOn w:val="946"/>
    <w:link w:val="94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Заголовок 7 Знак"/>
    <w:basedOn w:val="946"/>
    <w:link w:val="94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Заголовок 8 Знак"/>
    <w:basedOn w:val="946"/>
    <w:link w:val="94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Заголовок 9 Знак"/>
    <w:basedOn w:val="946"/>
    <w:link w:val="94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8">
    <w:name w:val="Title"/>
    <w:basedOn w:val="936"/>
    <w:next w:val="936"/>
    <w:link w:val="95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9" w:customStyle="1">
    <w:name w:val="Заголовок Знак"/>
    <w:basedOn w:val="946"/>
    <w:link w:val="95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60">
    <w:name w:val="Subtitle"/>
    <w:basedOn w:val="936"/>
    <w:next w:val="936"/>
    <w:link w:val="96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1" w:customStyle="1">
    <w:name w:val="Подзаголовок Знак"/>
    <w:basedOn w:val="946"/>
    <w:link w:val="96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2">
    <w:name w:val="Quote"/>
    <w:basedOn w:val="936"/>
    <w:next w:val="936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 w:customStyle="1">
    <w:name w:val="Цитата 2 Знак"/>
    <w:basedOn w:val="946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65">
    <w:name w:val="Intense Emphasis"/>
    <w:basedOn w:val="94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66">
    <w:name w:val="Intense Quote"/>
    <w:basedOn w:val="936"/>
    <w:next w:val="936"/>
    <w:link w:val="96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67" w:customStyle="1">
    <w:name w:val="Выделенная цитата Знак"/>
    <w:basedOn w:val="946"/>
    <w:link w:val="96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68">
    <w:name w:val="Intense Reference"/>
    <w:basedOn w:val="94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69">
    <w:name w:val="Table Grid"/>
    <w:basedOn w:val="94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 w:customStyle="1">
    <w:name w:val="ds-markdown-paragraph"/>
    <w:basedOn w:val="93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71">
    <w:name w:val="annotation reference"/>
    <w:basedOn w:val="94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2">
    <w:name w:val="annotation text"/>
    <w:basedOn w:val="936"/>
    <w:link w:val="97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3" w:customStyle="1">
    <w:name w:val="Текст примечания Знак"/>
    <w:basedOn w:val="946"/>
    <w:link w:val="972"/>
    <w:uiPriority w:val="99"/>
    <w:semiHidden/>
    <w:pPr>
      <w:pBdr/>
      <w:spacing/>
      <w:ind/>
    </w:pPr>
    <w:rPr>
      <w:rFonts w:ascii="Arial" w:hAnsi="Arial" w:eastAsia="Arial" w:cs="Arial"/>
      <w:sz w:val="20"/>
      <w:szCs w:val="20"/>
      <w:lang w:val="ru" w:eastAsia="ru-RU"/>
      <w14:ligatures w14:val="none"/>
    </w:rPr>
  </w:style>
  <w:style w:type="paragraph" w:styleId="974">
    <w:name w:val="annotation subject"/>
    <w:basedOn w:val="972"/>
    <w:next w:val="972"/>
    <w:link w:val="975"/>
    <w:uiPriority w:val="99"/>
    <w:semiHidden/>
    <w:unhideWhenUsed/>
    <w:pPr>
      <w:pBdr/>
      <w:spacing/>
      <w:ind/>
    </w:pPr>
    <w:rPr>
      <w:b/>
      <w:bCs/>
    </w:rPr>
  </w:style>
  <w:style w:type="character" w:styleId="975" w:customStyle="1">
    <w:name w:val="Тема примечания Знак"/>
    <w:basedOn w:val="973"/>
    <w:link w:val="974"/>
    <w:uiPriority w:val="99"/>
    <w:semiHidden/>
    <w:pPr>
      <w:pBdr/>
      <w:spacing/>
      <w:ind/>
    </w:pPr>
    <w:rPr>
      <w:rFonts w:ascii="Arial" w:hAnsi="Arial" w:eastAsia="Arial" w:cs="Arial"/>
      <w:b/>
      <w:bCs/>
      <w:sz w:val="20"/>
      <w:szCs w:val="20"/>
      <w:lang w:val="ru" w:eastAsia="ru-RU"/>
      <w14:ligatures w14:val="none"/>
    </w:rPr>
  </w:style>
  <w:style w:type="paragraph" w:styleId="976">
    <w:name w:val="StGen0"/>
    <w:basedOn w:val="936"/>
    <w:next w:val="979"/>
    <w:uiPriority w:val="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paragraph" w:styleId="977" w:customStyle="1">
    <w:name w:val="ГОСТ"/>
    <w:basedOn w:val="936"/>
    <w:link w:val="978"/>
    <w:qFormat/>
    <w:pPr>
      <w:pBdr/>
      <w:spacing w:line="360" w:lineRule="auto"/>
      <w:ind w:firstLine="709"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/>
    </w:rPr>
  </w:style>
  <w:style w:type="character" w:styleId="978" w:customStyle="1">
    <w:name w:val="ГОСТ Знак"/>
    <w:link w:val="977"/>
    <w:pPr>
      <w:pBdr/>
      <w:spacing/>
      <w:ind/>
    </w:pPr>
    <w:rPr>
      <w:rFonts w:ascii="Times New Roman" w:hAnsi="Times New Roman" w:eastAsia="Calibri" w:cs="Times New Roman"/>
      <w:color w:val="000000"/>
      <w:sz w:val="28"/>
      <w:szCs w:val="28"/>
      <w14:ligatures w14:val="none"/>
    </w:rPr>
  </w:style>
  <w:style w:type="paragraph" w:styleId="979">
    <w:name w:val="Normal (Web)"/>
    <w:basedOn w:val="936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revision>5</cp:revision>
  <dcterms:created xsi:type="dcterms:W3CDTF">2026-03-18T10:58:00Z</dcterms:created>
  <dcterms:modified xsi:type="dcterms:W3CDTF">2026-04-14T08:24:07Z</dcterms:modified>
</cp:coreProperties>
</file>