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-525" w:type="dxa"/>
        <w:tblW w:w="1017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3855"/>
        <w:gridCol w:w="2865"/>
        <w:gridCol w:w="3450"/>
      </w:tblGrid>
      <w:tr>
        <w:trPr>
          <w:trHeight w:val="545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855" w:type="dxa"/>
            <w:vMerge w:val="restart"/>
            <w:textDirection w:val="lrTb"/>
            <w:noWrap w:val="false"/>
          </w:tcPr>
          <w:p w14:paraId="6AC694A7">
            <w:pPr>
              <w:pBdr/>
              <w:spacing w:after="240" w:before="24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Лабораторная работа №1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  <w:p w14:paraId="0C879F1C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«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Стратегическое планирование разработки ИС ИИ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>
              <w:top w:val="single" w:color="000000" w:sz="5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  <w:textDirection w:val="lrTb"/>
            <w:noWrap w:val="false"/>
          </w:tcPr>
          <w:p w14:paraId="093FC6E9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Выполнил: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>
              <w:top w:val="single" w:color="000000" w:sz="5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  <w:textDirection w:val="lrTb"/>
            <w:noWrap w:val="false"/>
          </w:tcPr>
          <w:p w14:paraId="34AA6737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Сидский Н.А.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</w:tr>
      <w:tr>
        <w:trPr>
          <w:trHeight w:val="465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855" w:type="dxa"/>
            <w:vMerge w:val="continue"/>
            <w:textDirection w:val="lrTb"/>
            <w:noWrap w:val="false"/>
          </w:tcPr>
          <w:p w14:paraId="7A783DB9">
            <w:pPr>
              <w:pBdr/>
              <w:spacing w:after="240" w:before="240"/>
              <w:ind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5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  <w:textDirection w:val="lrTb"/>
            <w:noWrap w:val="false"/>
          </w:tcPr>
          <w:p w14:paraId="01D3D532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Группа: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>
              <w:top w:val="single" w:color="000000" w:sz="5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  <w:textDirection w:val="lrTb"/>
            <w:noWrap w:val="false"/>
          </w:tcPr>
          <w:p w14:paraId="6AA8A1FB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RU"/>
              </w:rPr>
              <w:t xml:space="preserve">ИВТ-464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</w:tr>
      <w:tr>
        <w:trPr>
          <w:trHeight w:val="261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3855" w:type="dxa"/>
            <w:vMerge w:val="continue"/>
            <w:textDirection w:val="lrTb"/>
            <w:noWrap w:val="false"/>
          </w:tcPr>
          <w:p w14:paraId="7BA72AF6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  <w:textDirection w:val="lrTb"/>
            <w:noWrap w:val="false"/>
          </w:tcPr>
          <w:p w14:paraId="446FB643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Преподаватель: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  <w:textDirection w:val="lrTb"/>
            <w:noWrap w:val="false"/>
          </w:tcPr>
          <w:p w14:paraId="5530265E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RU"/>
              </w:rPr>
              <w:t xml:space="preserve">Заборовская Н. Г.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</w:tr>
      <w:tr>
        <w:trPr>
          <w:trHeight w:val="326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3855" w:type="dxa"/>
            <w:vMerge w:val="continue"/>
            <w:textDirection w:val="lrTb"/>
            <w:noWrap w:val="false"/>
          </w:tcPr>
          <w:p w14:paraId="6FCAF69A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  <w:textDirection w:val="lrTb"/>
            <w:noWrap w:val="false"/>
          </w:tcPr>
          <w:p w14:paraId="797611BB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Дата выполнения: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  <w:textDirection w:val="lrTb"/>
            <w:noWrap w:val="false"/>
          </w:tcPr>
          <w:p w14:paraId="7087E32F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13.04.2026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</w:tr>
      <w:tr>
        <w:trPr>
          <w:trHeight w:val="151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3855" w:type="dxa"/>
            <w:vMerge w:val="continue"/>
            <w:textDirection w:val="lrTb"/>
            <w:noWrap w:val="false"/>
          </w:tcPr>
          <w:p w14:paraId="1B288D63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  <w:textDirection w:val="lrTb"/>
            <w:noWrap w:val="false"/>
          </w:tcPr>
          <w:p w14:paraId="3546D2E8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Оценка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  <w:textDirection w:val="lrTb"/>
            <w:noWrap w:val="false"/>
          </w:tcPr>
          <w:p w14:paraId="09AB6862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</w:tr>
    </w:tbl>
    <w:p w14:paraId="3E9E54A9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Цель работы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Cs w:val="28"/>
        </w:rPr>
      </w:r>
    </w:p>
    <w:p w14:paraId="5C0234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Сформировать системное понимание и практические навыки составления паспорта ИИ-проекта, а также определения временных, трудовых, технических и финансовых ограничений проекта. 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4635E749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Задачи работы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Cs w:val="28"/>
        </w:rPr>
      </w:r>
    </w:p>
    <w:p w14:paraId="20698574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Сформировать паспорт проекта.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26937B25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Определить временные ограничения и декомпозировать проект на этапы.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4260DDE1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Определить трудовые ограничения, состав команды и затраты на персонал.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266FBF85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Определить технические ограничения и затраты на оборудование, программное обеспечение и серверную инфраструктуру.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44C52B41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Составить смету расходов по проекту. 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1AD970F0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Ход работы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1BC4128B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1. Заполнение паспорта проекта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Cs w:val="28"/>
        </w:rPr>
      </w:r>
    </w:p>
    <w:p w14:paraId="13FF67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качестве темы проекта был выбран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онлайн-сервис ИИ-редактирования изображений с функцией переноса пользовательского стиля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 Данный проект представляет собой MVP веб-сервиса, предназначенного для автоматизированной обработки изображений с использованием методов искусственного интеллекта.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25CA1B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Рабочее название проекта сформулировано как наименование разрабатываемой системы. В паспорт были внесены дата создания документа, версия и основная информация о проекте. Проблема проекта была описана с позиции целевой аудитории: дизайнеров, контент-мейкеро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в, специалистов по маркетингу и продавцов на маркетплейсах, которые сталкиваются с высокой трудоёмкостью ручной обработки изображений и ограничениями существующих сервисов при работе с собственным стилем.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048618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Цель проекта была сформулирована по принципу SMART: разработать к концу апреля 2026 года MVP онлайн-сервиса, позволяющего пользователям загружать изображения, применять перенос пользовательского стиля и использовать базовые функции интеллектуального редакт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ирования, что позволит сократить время подготовки визуального контента.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287863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Также в паспорт проекта были внесены функциональные задачи системы: регистрация и авторизация пользователей, загрузка изображений, загрузка референсов стиля, применение стилизации, интеллектуальная обработка изображений, предпросмотр результата, скачивание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результата и хранение истории обработок.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09B9AE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разделе результатов проекта были зафиксированы создаваемые артефакты: MVP веб-сервиса, программный код серверной и клиентской частей, модуль ИИ-обработки изображений, проектная и пользовательская документация, а также результаты тестирования. Кроме того,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были определены ожидаемые эффекты проекта, основные риски, источники финансирования и лидер проекта. Требование к заполнению именно этих разделов прямо указано в шаблоне лабораторной работы. 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35167529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2. Определение временных ограничений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Cs w:val="28"/>
        </w:rPr>
      </w:r>
    </w:p>
    <w:p w14:paraId="3BAEA6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соответствии с требованиями лабораторной работы проект был декомпозирован на последовательные этапы с конкретными сроками выполнения. Временные ограничения позволяют определить структуру проекта, выделить основные стадии реализации и оценить реалистичнос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ть сроков. 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236ADE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Для проекта были выделены следующие этапы: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0284C934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Анализ предметной области и формирование требований к онлайн-сервису.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6CB04F9A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Проектирование архитектуры системы и пользовательского интерфейса.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39F26EAF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Разработка серверной и клиентской части MVP онлайн-сервиса.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3AEC3FDF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Интеграция ИИ-модуля стилизации и интеллектуальной обработки изображений.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1CF4883F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Тестирование, доработка и подготовка проектной документации.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6D16A3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Этапы были распределены по календарному плану с февраля по апрель 2026 года. Такая декомпозиция позволила логично разделить проект на аналитическую, проектную, разработческую и завершающую стадии, каждая из которых имеет конкретный результат.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50414843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3. Определение трудовых ограничений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Cs w:val="28"/>
        </w:rPr>
      </w:r>
    </w:p>
    <w:p w14:paraId="64ACDA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На следующем этапе был определён состав команды проекта, необходимый для разработки MVP онлайн-сервиса. В трудовых ограничениях указывались роли участников, количество человек по каждой роли, размер ежемесячной оплаты труда и продолжительность участия в пр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оекте. Такой подход соответствует методическим указаниям лабораторной работы. 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574D80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состав команды были включены: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0F477079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руководитель проекта;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73066463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бизнес-аналитик / системный аналитик;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5D58BAC7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backend-разработчик;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01028D5E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frontend-разработчик;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438A873F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ML-инженер;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269AA4C8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UX/UI-дизайнер;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6CA00113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тестировщик.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4C72E0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Для каждой роли были заданы продолжительность участия в проекте и уровень заработной платы. Это позволило определить трудовые ресурсы, необходимые для реализации проекта, а затем использовать эти данные при составлении финансовой сметы.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7E2744BD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4. Определение технических ограничений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Cs w:val="28"/>
        </w:rPr>
      </w:r>
    </w:p>
    <w:p w14:paraId="3EF969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После определения команды были рассчитаны технические затраты, необходимые для реализации проекта. В технические ограничения вошли оборудование, серверные мощности, инфраструктура хранения данных, средства связи и программные сервисы, без которых разработк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а и эксплуатация проекта невозможны. 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0494B0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Для проекта были учтены следующие технические ресурсы: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4C73DAEC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рабочая станция для ML-разработки и тестирования модели;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652DDF5B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ноутбуки/ПК для разработки клиентской и серверной части;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7B952DA5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аренда облачного GPU-сервера для обучения и тестирования модели;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644BD2F5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аренда VPS-сервера для размещения backend и API;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524CF09B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облачное хранилище изображений и результатов обработки;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04DA1E65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доменное имя и SSL-сертификат;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634CC46B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подписка на сервис проектирования интерфейсов;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1F5FE0F1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средства связи и интернет-обеспечение команды.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4B10C3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При расчёте применялся коэффициент удорожания, что соответствует рекомендациям методических указаний, где указано, что итоговая стоимость должна учитывать возможное удорожание техники и инфраструктуры. В результате была получена итоговая сумма затрат на те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хническое обеспечение проекта.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125D6B8C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5. Составление сметы проекта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Cs w:val="28"/>
        </w:rPr>
      </w:r>
    </w:p>
    <w:p w14:paraId="313042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Заключительным этапом лабораторной работы стало составление сметы проекта на основе ранее определённых трудовых и технических ограничений. По методике шаблона в смету были перенесены данные о ролях команды, количестве исполнителей, сроках участия, трудозат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ратах в человеко-часах и стоимости чел-часа. Далее были рассчитаны затраты на оплату труда, накладные расходы, стоимость материалов и комплектующих, а также итоговая стоимость проекта с учётом НДС. 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67BE6D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смете были отражены: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105BD38D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затраты на оплату труда непосредственных исполнителей;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0BBBC1F8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накладные расходы;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696D55E5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стоимость материалов и комплектующих изделий;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3F7992BB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полная себестоимость работ;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774DFD42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рентабельность;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571E253E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итоговая стоимость проекта без НДС;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37F4AB2F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НДС по ставке 22%;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05871A24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итоговая стоимость проекта с НДС.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067AC9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Полученная итоговая сумма была перенесена в поле «Бюджет» паспорта проекта, как это предусмотрено требованиями лабораторной работы. 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6D3FD5DD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Вывод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0ACB97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ходе выполнения лабораторной работы был разработан первичный комплект проектной документации для ИИ-проекта «онлайн-сервис ИИ-редактирования изображений с функцией переноса пользовательского стиля». Были сформированы паспорт проекта, календарный план реа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лизации, состав команды, перечень технических ресурсов и финансовая смета.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6E5ACB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результате работы были получены практические навыки стратегического планирования проекта в области искусственного интеллекта, а также сформировано целостное представление о взаимосвязи целей проекта, сроков, ресурсов, рисков и бюджета.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780AE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4DF2A72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2026-04-13T12:53:45Z</dcterms:modified>
</cp:coreProperties>
</file>