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661F" w14:textId="77777777" w:rsidR="002E3C75" w:rsidRDefault="00000000">
      <w:pPr>
        <w:spacing w:after="200"/>
        <w:jc w:val="center"/>
      </w:pPr>
      <w:r>
        <w:rPr>
          <w:b/>
          <w:bCs/>
          <w:sz w:val="28"/>
          <w:szCs w:val="28"/>
        </w:rPr>
        <w:t>b.1. Análisis del Entorno Genérico: Comunidad de Madrid</w:t>
      </w:r>
    </w:p>
    <w:p w14:paraId="3F48AE85" w14:textId="7720CDDD" w:rsidR="002E3C75" w:rsidRDefault="00000000">
      <w:pPr>
        <w:spacing w:before="60" w:after="120"/>
        <w:jc w:val="both"/>
      </w:pPr>
      <w:r>
        <w:t xml:space="preserve">La Comunidad de Madrid constituye el principal ecosistema empresarial de España y representa el entorno más favorable para implantar </w:t>
      </w:r>
      <w:proofErr w:type="spellStart"/>
      <w:r>
        <w:t>SecureVault</w:t>
      </w:r>
      <w:proofErr w:type="spellEnd"/>
      <w:r>
        <w:t xml:space="preserve">. A </w:t>
      </w:r>
      <w:proofErr w:type="gramStart"/>
      <w:r>
        <w:t>continuación</w:t>
      </w:r>
      <w:proofErr w:type="gramEnd"/>
      <w:r>
        <w:t xml:space="preserve"> se analizan los factores del entorno genérico más relevantes para el servicio.</w:t>
      </w:r>
    </w:p>
    <w:p w14:paraId="625BF683" w14:textId="7F45ADB2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t>1. Factores Político-Legales</w:t>
      </w:r>
    </w:p>
    <w:p w14:paraId="7D0CE364" w14:textId="64CB5753" w:rsidR="002E3C75" w:rsidRDefault="00000000">
      <w:pPr>
        <w:spacing w:before="60" w:after="120"/>
        <w:jc w:val="both"/>
      </w:pPr>
      <w:r>
        <w:t xml:space="preserve">El </w:t>
      </w:r>
      <w:r>
        <w:rPr>
          <w:b/>
          <w:bCs/>
        </w:rPr>
        <w:t>RGPD (Reglamento UE 2016/679)</w:t>
      </w:r>
      <w:r>
        <w:t xml:space="preserve"> y su desarrollo nacional a través de la </w:t>
      </w:r>
      <w:r>
        <w:rPr>
          <w:b/>
          <w:bCs/>
        </w:rPr>
        <w:t>LOPDGDD</w:t>
      </w:r>
      <w:r>
        <w:t xml:space="preserve"> obligan a cualquier empresa que trate datos personales a garantizar su confidencialidad e integridad, con sanciones de hasta el 4 % del volumen de negocio global. A esto se suma la </w:t>
      </w:r>
      <w:r>
        <w:rPr>
          <w:b/>
          <w:bCs/>
        </w:rPr>
        <w:t>Directiva NIS2 (UE 2022/2555)</w:t>
      </w:r>
      <w:r>
        <w:t xml:space="preserve">, actualmente en proceso de transposición al ordenamiento jurídico español mediante un anteproyecto de ley que prevé además la constitución de un </w:t>
      </w:r>
      <w:r>
        <w:rPr>
          <w:b/>
          <w:bCs/>
        </w:rPr>
        <w:t>Centro Nacional de Ciberseguridad</w:t>
      </w:r>
      <w:r>
        <w:t xml:space="preserve">, anunciado por el Gobierno en octubre de 2025. Este conjunto normativo exige a las empresas —también a las </w:t>
      </w:r>
      <w:proofErr w:type="spellStart"/>
      <w:r>
        <w:t>PYMEs</w:t>
      </w:r>
      <w:proofErr w:type="spellEnd"/>
      <w:r>
        <w:t xml:space="preserve"> en sectores ampliados— adoptar medidas técnicas de protección de datos, creando una necesidad directa del tipo de solución que ofrece </w:t>
      </w:r>
      <w:proofErr w:type="spellStart"/>
      <w:r>
        <w:t>SecureVault</w:t>
      </w:r>
      <w:proofErr w:type="spellEnd"/>
      <w:r>
        <w:t>.</w:t>
      </w:r>
    </w:p>
    <w:p w14:paraId="727C716E" w14:textId="53A5609D" w:rsidR="002E3C75" w:rsidRDefault="00000000">
      <w:pPr>
        <w:spacing w:before="60" w:after="120"/>
        <w:jc w:val="both"/>
      </w:pPr>
      <w:r>
        <w:t xml:space="preserve">En el plano estratégico, la </w:t>
      </w:r>
      <w:r>
        <w:rPr>
          <w:b/>
          <w:bCs/>
        </w:rPr>
        <w:t>Estrategia Nacional de Ciberseguridad de 2019</w:t>
      </w:r>
      <w:r>
        <w:t xml:space="preserve"> —vigente y en proceso de renovación desde abril de 2025— junto con el </w:t>
      </w:r>
      <w:r>
        <w:rPr>
          <w:b/>
          <w:bCs/>
        </w:rPr>
        <w:t>Plan España Digital 2026</w:t>
      </w:r>
      <w:r>
        <w:t xml:space="preserve"> canalizan financiación pública hacia la digitalización segura de las pequeñas empresas, reduciendo la barrera económica de entrada para los clientes objetivo.</w:t>
      </w:r>
    </w:p>
    <w:p w14:paraId="2B187DC7" w14:textId="163C2132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t>2. Factores Económicos</w:t>
      </w:r>
    </w:p>
    <w:p w14:paraId="659DF5A9" w14:textId="2B50BCDF" w:rsidR="002E3C75" w:rsidRDefault="00000000">
      <w:pPr>
        <w:spacing w:before="60" w:after="120"/>
        <w:jc w:val="both"/>
      </w:pPr>
      <w:r>
        <w:t xml:space="preserve">La Comunidad de Madrid aporta cerca del </w:t>
      </w:r>
      <w:r>
        <w:rPr>
          <w:b/>
          <w:bCs/>
        </w:rPr>
        <w:t>19,5 % del PIB nacional</w:t>
      </w:r>
      <w:r>
        <w:t xml:space="preserve"> (INE, 2024) y concentra más de </w:t>
      </w:r>
      <w:r>
        <w:rPr>
          <w:b/>
          <w:bCs/>
        </w:rPr>
        <w:t>600.000 empresas activas</w:t>
      </w:r>
      <w:r>
        <w:t xml:space="preserve">, de las cuales más del 95 % son </w:t>
      </w:r>
      <w:proofErr w:type="spellStart"/>
      <w:r>
        <w:t>PYMEs</w:t>
      </w:r>
      <w:proofErr w:type="spellEnd"/>
      <w:r>
        <w:t xml:space="preserve"> y autónomos: el segmento objetivo de </w:t>
      </w:r>
      <w:proofErr w:type="spellStart"/>
      <w:r>
        <w:t>SecureVault</w:t>
      </w:r>
      <w:proofErr w:type="spellEnd"/>
      <w:r>
        <w:t>. Su renta per cápita —la más alta de España— y su cultura de inversión tecnológica favorecen la disposición a pagar por servicios percibidos como críticos para la continuidad del negocio.</w:t>
      </w:r>
    </w:p>
    <w:p w14:paraId="77E64156" w14:textId="77777777" w:rsidR="002E3C75" w:rsidRDefault="00000000">
      <w:pPr>
        <w:spacing w:before="60" w:after="120"/>
        <w:jc w:val="both"/>
      </w:pPr>
      <w:r>
        <w:t xml:space="preserve">Los fondos </w:t>
      </w:r>
      <w:proofErr w:type="spellStart"/>
      <w:r>
        <w:rPr>
          <w:b/>
          <w:bCs/>
        </w:rPr>
        <w:t>NextGenerationEU</w:t>
      </w:r>
      <w:proofErr w:type="spellEnd"/>
      <w:r>
        <w:t xml:space="preserve"> siguen canalizando inversión hacia la modernización tecnológica de las pequeñas empresas en 2026, ampliando el mercado potencial. El mercado europeo de soluciones de almacenamiento seguro y ciberseguridad para empresas mantiene tasas de crecimiento superiores al 15 % anual (Gartner, 2024), tendencia que se replica en España.</w:t>
      </w:r>
    </w:p>
    <w:p w14:paraId="5765847D" w14:textId="77777777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t>3. Factores Sociales</w:t>
      </w:r>
    </w:p>
    <w:p w14:paraId="6C98A02D" w14:textId="77777777" w:rsidR="002E3C75" w:rsidRDefault="00000000">
      <w:pPr>
        <w:spacing w:before="60" w:after="120"/>
        <w:jc w:val="both"/>
      </w:pPr>
      <w:r>
        <w:t xml:space="preserve">La conciencia sobre el riesgo digital ha aumentado significativamente tras incidentes de alto impacto en España —SEPE (2021), Hospital </w:t>
      </w:r>
      <w:proofErr w:type="spellStart"/>
      <w:r>
        <w:t>Clínic</w:t>
      </w:r>
      <w:proofErr w:type="spellEnd"/>
      <w:r>
        <w:t xml:space="preserve"> de Barcelona (2023)— que transformaron la ciberseguridad en un asunto de continuidad de negocio percibido por la dirección de las </w:t>
      </w:r>
      <w:proofErr w:type="spellStart"/>
      <w:r>
        <w:t>PYMEs</w:t>
      </w:r>
      <w:proofErr w:type="spellEnd"/>
      <w:r>
        <w:t>, no solo por los departamentos técnicos.</w:t>
      </w:r>
    </w:p>
    <w:p w14:paraId="3645C659" w14:textId="77777777" w:rsidR="002E3C75" w:rsidRDefault="00000000">
      <w:pPr>
        <w:spacing w:before="60" w:after="120"/>
        <w:jc w:val="both"/>
      </w:pPr>
      <w:r>
        <w:t xml:space="preserve">La consolidación del </w:t>
      </w:r>
      <w:r>
        <w:rPr>
          <w:b/>
          <w:bCs/>
        </w:rPr>
        <w:t>teletrabajo</w:t>
      </w:r>
      <w:r>
        <w:t xml:space="preserve"> amplía el perímetro de seguridad empresarial más allá de la oficina, aumentando la necesidad de acceso remoto seguro. Existe además una creciente desconfianza hacia los grandes proveedores </w:t>
      </w:r>
      <w:proofErr w:type="spellStart"/>
      <w:r>
        <w:t>cloud</w:t>
      </w:r>
      <w:proofErr w:type="spellEnd"/>
      <w:r>
        <w:t xml:space="preserve"> estadounidenses —motivada por la incertidumbre legal bajo la </w:t>
      </w:r>
      <w:r>
        <w:rPr>
          <w:b/>
          <w:bCs/>
        </w:rPr>
        <w:t xml:space="preserve">CLOUD </w:t>
      </w:r>
      <w:proofErr w:type="spellStart"/>
      <w:r>
        <w:rPr>
          <w:b/>
          <w:bCs/>
        </w:rPr>
        <w:t>Act</w:t>
      </w:r>
      <w:proofErr w:type="spellEnd"/>
      <w:r>
        <w:t xml:space="preserve">— que favorece soluciones con infraestructura propia o europea, propuesta de valor central de </w:t>
      </w:r>
      <w:proofErr w:type="spellStart"/>
      <w:r>
        <w:t>SecureVault</w:t>
      </w:r>
      <w:proofErr w:type="spellEnd"/>
      <w:r>
        <w:t>.</w:t>
      </w:r>
    </w:p>
    <w:p w14:paraId="4280217F" w14:textId="77777777" w:rsidR="007D5436" w:rsidRDefault="007D5436">
      <w:pPr>
        <w:pBdr>
          <w:bottom w:val="single" w:sz="4" w:space="4" w:color="2E75B6"/>
        </w:pBdr>
        <w:spacing w:before="240" w:after="100"/>
        <w:rPr>
          <w:b/>
          <w:bCs/>
          <w:color w:val="1F3864"/>
        </w:rPr>
      </w:pPr>
    </w:p>
    <w:p w14:paraId="1D694269" w14:textId="77777777" w:rsidR="007D5436" w:rsidRDefault="007D5436">
      <w:pPr>
        <w:pBdr>
          <w:bottom w:val="single" w:sz="4" w:space="4" w:color="2E75B6"/>
        </w:pBdr>
        <w:spacing w:before="240" w:after="100"/>
        <w:rPr>
          <w:b/>
          <w:bCs/>
          <w:color w:val="1F3864"/>
        </w:rPr>
      </w:pPr>
    </w:p>
    <w:p w14:paraId="3B5FA742" w14:textId="77777777" w:rsidR="007D5436" w:rsidRDefault="007D5436">
      <w:pPr>
        <w:pBdr>
          <w:bottom w:val="single" w:sz="4" w:space="4" w:color="2E75B6"/>
        </w:pBdr>
        <w:spacing w:before="240" w:after="100"/>
        <w:rPr>
          <w:b/>
          <w:bCs/>
          <w:color w:val="1F3864"/>
        </w:rPr>
      </w:pPr>
    </w:p>
    <w:p w14:paraId="2DD722AB" w14:textId="6A257E00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lastRenderedPageBreak/>
        <w:t>4. Factores Tecnológicos</w:t>
      </w:r>
    </w:p>
    <w:p w14:paraId="3159C7E6" w14:textId="77777777" w:rsidR="002E3C75" w:rsidRDefault="00000000">
      <w:pPr>
        <w:spacing w:before="60" w:after="120"/>
        <w:jc w:val="both"/>
      </w:pPr>
      <w:r>
        <w:t xml:space="preserve">España lidera la </w:t>
      </w:r>
      <w:r>
        <w:rPr>
          <w:b/>
          <w:bCs/>
        </w:rPr>
        <w:t>penetración de fibra óptica en la UE</w:t>
      </w:r>
      <w:r>
        <w:t xml:space="preserve">, con una cobertura que supera el 90 % en la Comunidad de Madrid (CNMC, 2024), garantizando las condiciones técnicas para el acceso al portal web de </w:t>
      </w:r>
      <w:proofErr w:type="spellStart"/>
      <w:r>
        <w:t>SecureVault</w:t>
      </w:r>
      <w:proofErr w:type="spellEnd"/>
      <w:r>
        <w:t xml:space="preserve">. El Gobierno ha confirmado que la </w:t>
      </w:r>
      <w:r>
        <w:rPr>
          <w:b/>
          <w:bCs/>
        </w:rPr>
        <w:t>red 5G alcanzará el 100 % de la población española en 2026</w:t>
      </w:r>
      <w:r>
        <w:t>, reforzando la conectividad de los usuarios móviles.</w:t>
      </w:r>
    </w:p>
    <w:p w14:paraId="5C568ADC" w14:textId="77777777" w:rsidR="002E3C75" w:rsidRDefault="00000000">
      <w:pPr>
        <w:spacing w:before="60" w:after="120"/>
        <w:jc w:val="both"/>
      </w:pPr>
      <w:r>
        <w:t xml:space="preserve">El ecosistema tecnológico madrileño facilita el acceso a talento especializado en ciberseguridad y virtualización, recursos clave para el equipo de </w:t>
      </w:r>
      <w:proofErr w:type="spellStart"/>
      <w:r>
        <w:t>SecureVault</w:t>
      </w:r>
      <w:proofErr w:type="spellEnd"/>
      <w:r>
        <w:t xml:space="preserve">. La madurez de tecnologías open </w:t>
      </w:r>
      <w:proofErr w:type="spellStart"/>
      <w:r>
        <w:t>source</w:t>
      </w:r>
      <w:proofErr w:type="spellEnd"/>
      <w:r>
        <w:t xml:space="preserve"> como </w:t>
      </w:r>
      <w:proofErr w:type="spellStart"/>
      <w:r>
        <w:rPr>
          <w:b/>
          <w:bCs/>
        </w:rPr>
        <w:t>Proxmox</w:t>
      </w:r>
      <w:proofErr w:type="spellEnd"/>
      <w:r>
        <w:rPr>
          <w:b/>
          <w:bCs/>
        </w:rPr>
        <w:t xml:space="preserve"> VE, </w:t>
      </w:r>
      <w:proofErr w:type="spellStart"/>
      <w:r>
        <w:rPr>
          <w:b/>
          <w:bCs/>
        </w:rPr>
        <w:t>WireGuard</w:t>
      </w:r>
      <w:proofErr w:type="spellEnd"/>
      <w:r>
        <w:rPr>
          <w:b/>
          <w:bCs/>
        </w:rPr>
        <w:t xml:space="preserve"> y las librerías de cifrado AES-256</w:t>
      </w:r>
      <w:r>
        <w:t xml:space="preserve"> elimina dependencias de proveedores propietarios y reduce el riesgo técnico. El </w:t>
      </w:r>
      <w:r>
        <w:rPr>
          <w:b/>
          <w:bCs/>
        </w:rPr>
        <w:t>INCIBE</w:t>
      </w:r>
      <w:r>
        <w:t xml:space="preserve"> registró un aumento del 25 % en </w:t>
      </w:r>
      <w:proofErr w:type="spellStart"/>
      <w:r>
        <w:t>ciberincidentes</w:t>
      </w:r>
      <w:proofErr w:type="spellEnd"/>
      <w:r>
        <w:t xml:space="preserve"> en España en 2023, lo que actúa como catalizador estructural de la demanda.</w:t>
      </w:r>
    </w:p>
    <w:p w14:paraId="7F19FE9F" w14:textId="77777777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t>5. Factores Ecológicos</w:t>
      </w:r>
    </w:p>
    <w:p w14:paraId="234A1EC3" w14:textId="77777777" w:rsidR="002E3C75" w:rsidRDefault="00000000">
      <w:pPr>
        <w:spacing w:before="60" w:after="120"/>
        <w:jc w:val="both"/>
      </w:pPr>
      <w:r>
        <w:t xml:space="preserve">La arquitectura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>-premise</w:t>
      </w:r>
      <w:r>
        <w:t xml:space="preserve"> de </w:t>
      </w:r>
      <w:proofErr w:type="spellStart"/>
      <w:r>
        <w:t>SecureVault</w:t>
      </w:r>
      <w:proofErr w:type="spellEnd"/>
      <w:r>
        <w:t xml:space="preserve"> utiliza la infraestructura ya existente del cliente, evitando el </w:t>
      </w:r>
      <w:proofErr w:type="spellStart"/>
      <w:r>
        <w:t>sobreaprovisionamiento</w:t>
      </w:r>
      <w:proofErr w:type="spellEnd"/>
      <w:r>
        <w:t xml:space="preserve"> energético de los grandes centros de datos </w:t>
      </w:r>
      <w:proofErr w:type="spellStart"/>
      <w:r>
        <w:t>cloud</w:t>
      </w:r>
      <w:proofErr w:type="spellEnd"/>
      <w:r>
        <w:t xml:space="preserve">. Esto se alinea con el </w:t>
      </w:r>
      <w:r>
        <w:rPr>
          <w:b/>
          <w:bCs/>
        </w:rPr>
        <w:t>Green Deal europeo</w:t>
      </w:r>
      <w:r>
        <w:t xml:space="preserve"> y la creciente exigencia de reporte </w:t>
      </w:r>
      <w:r>
        <w:rPr>
          <w:b/>
          <w:bCs/>
        </w:rPr>
        <w:t>ESG</w:t>
      </w:r>
      <w:r>
        <w:t xml:space="preserve"> entre las empresas medianas madrileñas, convirtiéndose en un argumento diferenciador frente a los competidores </w:t>
      </w:r>
      <w:proofErr w:type="spellStart"/>
      <w:r>
        <w:t>cloud</w:t>
      </w:r>
      <w:proofErr w:type="spellEnd"/>
      <w:r>
        <w:t xml:space="preserve"> masivos.</w:t>
      </w:r>
    </w:p>
    <w:p w14:paraId="6D8AE233" w14:textId="77777777" w:rsidR="002E3C75" w:rsidRDefault="00000000">
      <w:pPr>
        <w:pBdr>
          <w:bottom w:val="single" w:sz="4" w:space="4" w:color="2E75B6"/>
        </w:pBdr>
        <w:spacing w:before="240" w:after="100"/>
      </w:pPr>
      <w:r>
        <w:rPr>
          <w:b/>
          <w:bCs/>
          <w:color w:val="1F3864"/>
        </w:rPr>
        <w:t>Síntesis</w:t>
      </w:r>
    </w:p>
    <w:p w14:paraId="0414A3AF" w14:textId="77777777" w:rsidR="002E3C75" w:rsidRDefault="00000000">
      <w:pPr>
        <w:spacing w:before="60" w:after="120"/>
        <w:jc w:val="both"/>
      </w:pPr>
      <w:r>
        <w:t xml:space="preserve">El entorno genérico de la Comunidad de Madrid es </w:t>
      </w:r>
      <w:r>
        <w:rPr>
          <w:b/>
          <w:bCs/>
        </w:rPr>
        <w:t>favorable</w:t>
      </w:r>
      <w:r>
        <w:t xml:space="preserve"> para </w:t>
      </w:r>
      <w:proofErr w:type="spellStart"/>
      <w:r>
        <w:t>SecureVault</w:t>
      </w:r>
      <w:proofErr w:type="spellEnd"/>
      <w:r>
        <w:t xml:space="preserve"> en todos sus ejes: la normativa vigente crea demanda directa, la economía madrileña ofrece un mercado amplio y con capacidad de pago, el contexto social aumenta la conciencia del riesgo, la infraestructura tecnológica garantiza la viabilidad del servicio, y el marco medioambiental refuerza la propuesta de valor frente al </w:t>
      </w:r>
      <w:proofErr w:type="spellStart"/>
      <w:r>
        <w:t>cloud</w:t>
      </w:r>
      <w:proofErr w:type="spellEnd"/>
      <w:r>
        <w:t xml:space="preserve"> convencional.</w:t>
      </w:r>
    </w:p>
    <w:p w14:paraId="26D82C72" w14:textId="77777777" w:rsidR="002E3C75" w:rsidRDefault="00000000">
      <w:pPr>
        <w:pBdr>
          <w:top w:val="single" w:sz="2" w:space="6" w:color="CCCCCC"/>
        </w:pBdr>
        <w:spacing w:before="200"/>
      </w:pPr>
      <w:r>
        <w:rPr>
          <w:i/>
          <w:iCs/>
          <w:color w:val="666666"/>
          <w:sz w:val="18"/>
          <w:szCs w:val="18"/>
        </w:rPr>
        <w:t>Fuentes: INE (2024), CNMC (2024), Gartner (2024), INCIBE (2023-2024), EUR-Lex RGPD/2016/679, Directiva NIS2 (UE 2022/2555), BOE Orden PJC/522/2025, La Moncloa (oct. 2025), Plan España Digital 2026.</w:t>
      </w:r>
    </w:p>
    <w:sectPr w:rsidR="002E3C7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D4D"/>
    <w:multiLevelType w:val="hybridMultilevel"/>
    <w:tmpl w:val="44F84724"/>
    <w:lvl w:ilvl="0" w:tplc="C81A159A">
      <w:start w:val="1"/>
      <w:numFmt w:val="bullet"/>
      <w:lvlText w:val="•"/>
      <w:lvlJc w:val="left"/>
      <w:pPr>
        <w:ind w:left="720" w:hanging="360"/>
      </w:pPr>
    </w:lvl>
    <w:lvl w:ilvl="1" w:tplc="F5E88A6E">
      <w:numFmt w:val="decimal"/>
      <w:lvlText w:val=""/>
      <w:lvlJc w:val="left"/>
    </w:lvl>
    <w:lvl w:ilvl="2" w:tplc="21A874B2">
      <w:numFmt w:val="decimal"/>
      <w:lvlText w:val=""/>
      <w:lvlJc w:val="left"/>
    </w:lvl>
    <w:lvl w:ilvl="3" w:tplc="5872966C">
      <w:numFmt w:val="decimal"/>
      <w:lvlText w:val=""/>
      <w:lvlJc w:val="left"/>
    </w:lvl>
    <w:lvl w:ilvl="4" w:tplc="1A523DBC">
      <w:numFmt w:val="decimal"/>
      <w:lvlText w:val=""/>
      <w:lvlJc w:val="left"/>
    </w:lvl>
    <w:lvl w:ilvl="5" w:tplc="A6601A42">
      <w:numFmt w:val="decimal"/>
      <w:lvlText w:val=""/>
      <w:lvlJc w:val="left"/>
    </w:lvl>
    <w:lvl w:ilvl="6" w:tplc="A6BAACF0">
      <w:numFmt w:val="decimal"/>
      <w:lvlText w:val=""/>
      <w:lvlJc w:val="left"/>
    </w:lvl>
    <w:lvl w:ilvl="7" w:tplc="FD427372">
      <w:numFmt w:val="decimal"/>
      <w:lvlText w:val=""/>
      <w:lvlJc w:val="left"/>
    </w:lvl>
    <w:lvl w:ilvl="8" w:tplc="791CB882">
      <w:numFmt w:val="decimal"/>
      <w:lvlText w:val=""/>
      <w:lvlJc w:val="left"/>
    </w:lvl>
  </w:abstractNum>
  <w:abstractNum w:abstractNumId="1" w15:restartNumberingAfterBreak="0">
    <w:nsid w:val="685F44E0"/>
    <w:multiLevelType w:val="hybridMultilevel"/>
    <w:tmpl w:val="338A8DCC"/>
    <w:lvl w:ilvl="0" w:tplc="724A0E80">
      <w:start w:val="1"/>
      <w:numFmt w:val="bullet"/>
      <w:lvlText w:val="●"/>
      <w:lvlJc w:val="left"/>
      <w:pPr>
        <w:ind w:left="720" w:hanging="360"/>
      </w:pPr>
    </w:lvl>
    <w:lvl w:ilvl="1" w:tplc="A7B20A58">
      <w:start w:val="1"/>
      <w:numFmt w:val="bullet"/>
      <w:lvlText w:val="○"/>
      <w:lvlJc w:val="left"/>
      <w:pPr>
        <w:ind w:left="1440" w:hanging="360"/>
      </w:pPr>
    </w:lvl>
    <w:lvl w:ilvl="2" w:tplc="10EEB5B8">
      <w:start w:val="1"/>
      <w:numFmt w:val="bullet"/>
      <w:lvlText w:val="■"/>
      <w:lvlJc w:val="left"/>
      <w:pPr>
        <w:ind w:left="2160" w:hanging="360"/>
      </w:pPr>
    </w:lvl>
    <w:lvl w:ilvl="3" w:tplc="C108ECEE">
      <w:start w:val="1"/>
      <w:numFmt w:val="bullet"/>
      <w:lvlText w:val="●"/>
      <w:lvlJc w:val="left"/>
      <w:pPr>
        <w:ind w:left="2880" w:hanging="360"/>
      </w:pPr>
    </w:lvl>
    <w:lvl w:ilvl="4" w:tplc="13D2BF06">
      <w:start w:val="1"/>
      <w:numFmt w:val="bullet"/>
      <w:lvlText w:val="○"/>
      <w:lvlJc w:val="left"/>
      <w:pPr>
        <w:ind w:left="3600" w:hanging="360"/>
      </w:pPr>
    </w:lvl>
    <w:lvl w:ilvl="5" w:tplc="E7761818">
      <w:start w:val="1"/>
      <w:numFmt w:val="bullet"/>
      <w:lvlText w:val="■"/>
      <w:lvlJc w:val="left"/>
      <w:pPr>
        <w:ind w:left="4320" w:hanging="360"/>
      </w:pPr>
    </w:lvl>
    <w:lvl w:ilvl="6" w:tplc="D10EC69C">
      <w:start w:val="1"/>
      <w:numFmt w:val="bullet"/>
      <w:lvlText w:val="●"/>
      <w:lvlJc w:val="left"/>
      <w:pPr>
        <w:ind w:left="5040" w:hanging="360"/>
      </w:pPr>
    </w:lvl>
    <w:lvl w:ilvl="7" w:tplc="C5527884">
      <w:start w:val="1"/>
      <w:numFmt w:val="bullet"/>
      <w:lvlText w:val="●"/>
      <w:lvlJc w:val="left"/>
      <w:pPr>
        <w:ind w:left="5760" w:hanging="360"/>
      </w:pPr>
    </w:lvl>
    <w:lvl w:ilvl="8" w:tplc="C4BA9CFC">
      <w:start w:val="1"/>
      <w:numFmt w:val="bullet"/>
      <w:lvlText w:val="●"/>
      <w:lvlJc w:val="left"/>
      <w:pPr>
        <w:ind w:left="6480" w:hanging="360"/>
      </w:pPr>
    </w:lvl>
  </w:abstractNum>
  <w:num w:numId="1" w16cid:durableId="1821001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75"/>
    <w:rsid w:val="002E3C75"/>
    <w:rsid w:val="00333D17"/>
    <w:rsid w:val="007D5436"/>
    <w:rsid w:val="00F27312"/>
    <w:rsid w:val="00FA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31A3"/>
  <w15:docId w15:val="{7276C95A-088D-4C64-A630-0933330B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Ovidiu Cioata</cp:lastModifiedBy>
  <cp:revision>3</cp:revision>
  <dcterms:created xsi:type="dcterms:W3CDTF">2026-03-15T16:21:00Z</dcterms:created>
  <dcterms:modified xsi:type="dcterms:W3CDTF">2026-03-15T19:03:00Z</dcterms:modified>
</cp:coreProperties>
</file>