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Calibri" w:cs="Calibri" w:eastAsia="Calibri" w:hAnsi="Calibri"/>
          <w:b/>
          <w:bCs/>
          <w:sz w:val="28"/>
          <w:szCs w:val="28"/>
        </w:rPr>
        <w:t xml:space="preserve">b.1. Análisis del Entorno Genérico: Comunidad de Madrid</w:t>
      </w:r>
    </w:p>
    <w:p>
      <w:pPr>
        <w:spacing w:before="60" w:after="120"/>
        <w:jc w:val="both"/>
      </w:pPr>
      <w:r>
        <w:rPr>
          <w:rFonts w:ascii="Calibri" w:cs="Calibri" w:eastAsia="Calibri" w:hAnsi="Calibri"/>
          <w:sz w:val="24"/>
          <w:szCs w:val="24"/>
        </w:rPr>
        <w:t xml:space="preserve">Para evaluar la viabilidad de SecureVault en la Comunidad de Madrid, se realiza un análisis PESTEL que identifica los principales factores del entorno genérico que afectan a un servicio de almacenamiento cifrado orientado a PYMEs y autónomos. La Comunidad de Madrid constituye el principal ecosistema empresarial de España y presenta un contexto particularmente favorable para este tipo de solución tecnológica.</w:t>
      </w:r>
    </w:p>
    <w:p>
      <w:pPr>
        <w:pBdr>
          <w:bottom w:val="single" w:color="2E75B6" w:sz="4" w:space="4"/>
        </w:pBdr>
        <w:spacing w:before="240" w:after="120"/>
      </w:pPr>
      <w:r>
        <w:rPr>
          <w:rFonts w:ascii="Calibri" w:cs="Calibri" w:eastAsia="Calibri" w:hAnsi="Calibri"/>
          <w:b/>
          <w:bCs/>
          <w:color w:val="1F3864"/>
          <w:sz w:val="24"/>
          <w:szCs w:val="24"/>
        </w:rPr>
        <w:t xml:space="preserve">1. Factores Político-Legales</w:t>
      </w:r>
    </w:p>
    <w:p>
      <w:pPr>
        <w:spacing w:before="60" w:after="120"/>
        <w:jc w:val="both"/>
      </w:pPr>
      <w:r>
        <w:rPr>
          <w:rFonts w:ascii="Calibri" w:cs="Calibri" w:eastAsia="Calibri" w:hAnsi="Calibri"/>
          <w:sz w:val="24"/>
          <w:szCs w:val="24"/>
        </w:rPr>
        <w:t xml:space="preserve">El marco normativo europeo y español actúa simultáneamente como motor de demanda y como condición necesaria para la operación del servicio. El </w:t>
      </w:r>
      <w:r>
        <w:rPr>
          <w:rFonts w:ascii="Calibri" w:cs="Calibri" w:eastAsia="Calibri" w:hAnsi="Calibri"/>
          <w:b/>
          <w:bCs/>
          <w:sz w:val="24"/>
          <w:szCs w:val="24"/>
        </w:rPr>
        <w:t xml:space="preserve">Reglamento General de Protección de Datos (RGPD)</w:t>
      </w:r>
      <w:r>
        <w:rPr>
          <w:rFonts w:ascii="Calibri" w:cs="Calibri" w:eastAsia="Calibri" w:hAnsi="Calibri"/>
          <w:sz w:val="24"/>
          <w:szCs w:val="24"/>
        </w:rPr>
        <w:t xml:space="preserve"> —vigente desde 2018— obliga a cualquier empresa que trate datos personales a garantizar su confidencialidad, integridad y disponibilidad, con sanciones de hasta el 4 % del volumen de negocio global. Esta exigencia genera una necesidad directa de soluciones como SecureVault entre las PYMEs madrileñas, que frecuentemente carecen de departamentos TI especializados.</w:t>
      </w:r>
    </w:p>
    <w:p>
      <w:pPr>
        <w:spacing w:before="60" w:after="120"/>
        <w:jc w:val="both"/>
      </w:pPr>
      <w:r>
        <w:rPr>
          <w:rFonts w:ascii="Calibri" w:cs="Calibri" w:eastAsia="Calibri" w:hAnsi="Calibri"/>
          <w:sz w:val="24"/>
          <w:szCs w:val="24"/>
        </w:rPr>
        <w:t xml:space="preserve">La </w:t>
      </w:r>
      <w:r>
        <w:rPr>
          <w:rFonts w:ascii="Calibri" w:cs="Calibri" w:eastAsia="Calibri" w:hAnsi="Calibri"/>
          <w:b/>
          <w:bCs/>
          <w:sz w:val="24"/>
          <w:szCs w:val="24"/>
        </w:rPr>
        <w:t xml:space="preserve">Ley Orgánica de Protección de Datos y Garantía de los Derechos Digitales (LOPDGDD, 2018)</w:t>
      </w:r>
      <w:r>
        <w:rPr>
          <w:rFonts w:ascii="Calibri" w:cs="Calibri" w:eastAsia="Calibri" w:hAnsi="Calibri"/>
          <w:sz w:val="24"/>
          <w:szCs w:val="24"/>
        </w:rPr>
        <w:t xml:space="preserve"> adapta el RGPD al ordenamiento jurídico español y refuerza las obligaciones sobre el cifrado de datos en reposo y en tránsito, que constituyen precisamente el núcleo técnico de SecureVault. Adicionalmente, la transposición de la </w:t>
      </w:r>
      <w:r>
        <w:rPr>
          <w:rFonts w:ascii="Calibri" w:cs="Calibri" w:eastAsia="Calibri" w:hAnsi="Calibri"/>
          <w:b/>
          <w:bCs/>
          <w:sz w:val="24"/>
          <w:szCs w:val="24"/>
        </w:rPr>
        <w:t xml:space="preserve">Directiva NIS2</w:t>
      </w:r>
      <w:r>
        <w:rPr>
          <w:rFonts w:ascii="Calibri" w:cs="Calibri" w:eastAsia="Calibri" w:hAnsi="Calibri"/>
          <w:sz w:val="24"/>
          <w:szCs w:val="24"/>
        </w:rPr>
        <w:t xml:space="preserve"> (Network and Information Security, 2024) amplía el ámbito de aplicación de los requisitos de ciberseguridad a sectores adicionales, incluyendo proveedores de servicios digitales a empresas medianas.</w:t>
      </w:r>
    </w:p>
    <w:p>
      <w:pPr>
        <w:spacing w:before="60" w:after="120"/>
        <w:jc w:val="both"/>
      </w:pPr>
      <w:r>
        <w:rPr>
          <w:rFonts w:ascii="Calibri" w:cs="Calibri" w:eastAsia="Calibri" w:hAnsi="Calibri"/>
          <w:sz w:val="24"/>
          <w:szCs w:val="24"/>
        </w:rPr>
        <w:t xml:space="preserve">En el plano político, el Gobierno de España ha impulsado la </w:t>
      </w:r>
      <w:r>
        <w:rPr>
          <w:rFonts w:ascii="Calibri" w:cs="Calibri" w:eastAsia="Calibri" w:hAnsi="Calibri"/>
          <w:b/>
          <w:bCs/>
          <w:sz w:val="24"/>
          <w:szCs w:val="24"/>
        </w:rPr>
        <w:t xml:space="preserve">Estrategia Nacional de Ciberseguridad 2019-2024</w:t>
      </w:r>
      <w:r>
        <w:rPr>
          <w:rFonts w:ascii="Calibri" w:cs="Calibri" w:eastAsia="Calibri" w:hAnsi="Calibri"/>
          <w:sz w:val="24"/>
          <w:szCs w:val="24"/>
        </w:rPr>
        <w:t xml:space="preserve">, actualizada con el Plan de Digitalización de PYMEs 2021-2025, que incluye financiación pública para la adopción de herramientas de seguridad digital. Esto reduce la barrera económica de entrada para los clientes objetivo de SecureVault y legitima institucionalmente la demanda del servicio.</w:t>
      </w:r>
    </w:p>
    <w:p>
      <w:pPr>
        <w:spacing w:before="60" w:after="120"/>
        <w:jc w:val="both"/>
      </w:pPr>
      <w:r>
        <w:rPr>
          <w:rFonts w:ascii="Calibri" w:cs="Calibri" w:eastAsia="Calibri" w:hAnsi="Calibri"/>
          <w:sz w:val="24"/>
          <w:szCs w:val="24"/>
        </w:rPr>
        <w:t xml:space="preserve">La estabilidad política de la Comunidad de Madrid y la solidez institucional del Estado español ofrecen un entorno predecible para la planificación empresarial a medio plazo.</w:t>
      </w:r>
    </w:p>
    <w:p>
      <w:pPr>
        <w:pBdr>
          <w:bottom w:val="single" w:color="2E75B6" w:sz="4" w:space="4"/>
        </w:pBdr>
        <w:spacing w:before="240" w:after="120"/>
      </w:pPr>
      <w:r>
        <w:rPr>
          <w:rFonts w:ascii="Calibri" w:cs="Calibri" w:eastAsia="Calibri" w:hAnsi="Calibri"/>
          <w:b/>
          <w:bCs/>
          <w:color w:val="1F3864"/>
          <w:sz w:val="24"/>
          <w:szCs w:val="24"/>
        </w:rPr>
        <w:t xml:space="preserve">2. Factores Económicos</w:t>
      </w:r>
    </w:p>
    <w:p>
      <w:pPr>
        <w:spacing w:before="60" w:after="120"/>
        <w:jc w:val="both"/>
      </w:pPr>
      <w:r>
        <w:rPr>
          <w:rFonts w:ascii="Calibri" w:cs="Calibri" w:eastAsia="Calibri" w:hAnsi="Calibri"/>
          <w:sz w:val="24"/>
          <w:szCs w:val="24"/>
        </w:rPr>
        <w:t xml:space="preserve">La Comunidad de Madrid es la región con mayor peso económico de España, aportando aproximadamente el </w:t>
      </w:r>
      <w:r>
        <w:rPr>
          <w:rFonts w:ascii="Calibri" w:cs="Calibri" w:eastAsia="Calibri" w:hAnsi="Calibri"/>
          <w:b/>
          <w:bCs/>
          <w:sz w:val="24"/>
          <w:szCs w:val="24"/>
        </w:rPr>
        <w:t xml:space="preserve">19,5 % del PIB nacional</w:t>
      </w:r>
      <w:r>
        <w:rPr>
          <w:rFonts w:ascii="Calibri" w:cs="Calibri" w:eastAsia="Calibri" w:hAnsi="Calibri"/>
          <w:sz w:val="24"/>
          <w:szCs w:val="24"/>
        </w:rPr>
        <w:t xml:space="preserve"> (INE, 2024) y concentrando la mayor densidad empresarial del país, con más de </w:t>
      </w:r>
      <w:r>
        <w:rPr>
          <w:rFonts w:ascii="Calibri" w:cs="Calibri" w:eastAsia="Calibri" w:hAnsi="Calibri"/>
          <w:b/>
          <w:bCs/>
          <w:sz w:val="24"/>
          <w:szCs w:val="24"/>
        </w:rPr>
        <w:t xml:space="preserve">600.000 empresas activas</w:t>
      </w:r>
      <w:r>
        <w:rPr>
          <w:rFonts w:ascii="Calibri" w:cs="Calibri" w:eastAsia="Calibri" w:hAnsi="Calibri"/>
          <w:sz w:val="24"/>
          <w:szCs w:val="24"/>
        </w:rPr>
        <w:t xml:space="preserve">, de las cuales más del 95 % son PYMEs y autónomos: el segmento objetivo de SecureVault.</w:t>
      </w:r>
    </w:p>
    <w:p>
      <w:pPr>
        <w:spacing w:before="60" w:after="120"/>
        <w:jc w:val="both"/>
      </w:pPr>
      <w:r>
        <w:rPr>
          <w:rFonts w:ascii="Calibri" w:cs="Calibri" w:eastAsia="Calibri" w:hAnsi="Calibri"/>
          <w:sz w:val="24"/>
          <w:szCs w:val="24"/>
        </w:rPr>
        <w:t xml:space="preserve">La renta per cápita madrileña —la más alta de España— y la cultura de inversión tecnológica del tejido empresarial local favorecen la disposición a pagar por servicios de ciberseguridad percibidos como críticos. El mercado europeo de soluciones de seguridad en la nube y almacenamiento cifrado ha experimentado tasas de crecimiento anuales superiores al </w:t>
      </w:r>
      <w:r>
        <w:rPr>
          <w:rFonts w:ascii="Calibri" w:cs="Calibri" w:eastAsia="Calibri" w:hAnsi="Calibri"/>
          <w:b/>
          <w:bCs/>
          <w:sz w:val="24"/>
          <w:szCs w:val="24"/>
        </w:rPr>
        <w:t xml:space="preserve">15 % en el periodo 2021-2024</w:t>
      </w:r>
      <w:r>
        <w:rPr>
          <w:rFonts w:ascii="Calibri" w:cs="Calibri" w:eastAsia="Calibri" w:hAnsi="Calibri"/>
          <w:sz w:val="24"/>
          <w:szCs w:val="24"/>
        </w:rPr>
        <w:t xml:space="preserve"> (Gartner, 2024), tendencia que se replica en el mercado español.</w:t>
      </w:r>
    </w:p>
    <w:p>
      <w:pPr>
        <w:spacing w:before="60" w:after="120"/>
        <w:jc w:val="both"/>
      </w:pPr>
      <w:r>
        <w:rPr>
          <w:rFonts w:ascii="Calibri" w:cs="Calibri" w:eastAsia="Calibri" w:hAnsi="Calibri"/>
          <w:sz w:val="24"/>
          <w:szCs w:val="24"/>
        </w:rPr>
        <w:t xml:space="preserve">Los fondos </w:t>
      </w:r>
      <w:r>
        <w:rPr>
          <w:rFonts w:ascii="Calibri" w:cs="Calibri" w:eastAsia="Calibri" w:hAnsi="Calibri"/>
          <w:b/>
          <w:bCs/>
          <w:sz w:val="24"/>
          <w:szCs w:val="24"/>
        </w:rPr>
        <w:t xml:space="preserve">NextGenerationEU</w:t>
      </w:r>
      <w:r>
        <w:rPr>
          <w:rFonts w:ascii="Calibri" w:cs="Calibri" w:eastAsia="Calibri" w:hAnsi="Calibri"/>
          <w:sz w:val="24"/>
          <w:szCs w:val="24"/>
        </w:rPr>
        <w:t xml:space="preserve"> y el componente de digitalización del Plan de Recuperación, Transformación y Resiliencia canalizan financiación hacia la modernización tecnológica de las pequeñas empresas, lo que amplía el mercado potencial de SecureVault al reducir el coste percibido de adopción. El tipo de interés de referencia del BCE, aunque en proceso de moderación desde 2024, mantiene costes de financiación relevantes para la inversión inicial, aspecto que refuerza el modelo de servicio gestionado frente a la compra de hardware propio.</w:t>
      </w:r>
    </w:p>
    <w:p>
      <w:pPr>
        <w:pBdr>
          <w:bottom w:val="single" w:color="2E75B6" w:sz="4" w:space="4"/>
        </w:pBdr>
        <w:spacing w:before="240" w:after="120"/>
      </w:pPr>
      <w:r>
        <w:rPr>
          <w:rFonts w:ascii="Calibri" w:cs="Calibri" w:eastAsia="Calibri" w:hAnsi="Calibri"/>
          <w:b/>
          <w:bCs/>
          <w:color w:val="1F3864"/>
          <w:sz w:val="24"/>
          <w:szCs w:val="24"/>
        </w:rPr>
        <w:t xml:space="preserve">3. Factores Sociales</w:t>
      </w:r>
    </w:p>
    <w:p>
      <w:pPr>
        <w:spacing w:before="60" w:after="120"/>
        <w:jc w:val="both"/>
      </w:pPr>
      <w:r>
        <w:rPr>
          <w:rFonts w:ascii="Calibri" w:cs="Calibri" w:eastAsia="Calibri" w:hAnsi="Calibri"/>
          <w:sz w:val="24"/>
          <w:szCs w:val="24"/>
        </w:rPr>
        <w:t xml:space="preserve">La conciencia social sobre la seguridad digital ha experimentado un aumento significativo en España tras sonados incidentes de ransomware que afectaron a instituciones públicas y empresas de referencia (SEPE, 2021; Hospital Clínic de Barcelona, 2023). Este contexto ha transformado la ciberseguridad de una preocupación exclusivamente técnica a un asunto de continuidad de negocio percibido por la dirección de las PYMEs.</w:t>
      </w:r>
    </w:p>
    <w:p>
      <w:pPr>
        <w:spacing w:before="60" w:after="120"/>
        <w:jc w:val="both"/>
      </w:pPr>
      <w:r>
        <w:rPr>
          <w:rFonts w:ascii="Calibri" w:cs="Calibri" w:eastAsia="Calibri" w:hAnsi="Calibri"/>
          <w:sz w:val="24"/>
          <w:szCs w:val="24"/>
        </w:rPr>
        <w:t xml:space="preserve">La Comunidad de Madrid concentra una proporción elevada de </w:t>
      </w:r>
      <w:r>
        <w:rPr>
          <w:rFonts w:ascii="Calibri" w:cs="Calibri" w:eastAsia="Calibri" w:hAnsi="Calibri"/>
          <w:b/>
          <w:bCs/>
          <w:sz w:val="24"/>
          <w:szCs w:val="24"/>
        </w:rPr>
        <w:t xml:space="preserve">trabajadores del conocimiento y autónomos digitales</w:t>
      </w:r>
      <w:r>
        <w:rPr>
          <w:rFonts w:ascii="Calibri" w:cs="Calibri" w:eastAsia="Calibri" w:hAnsi="Calibri"/>
          <w:sz w:val="24"/>
          <w:szCs w:val="24"/>
        </w:rPr>
        <w:t xml:space="preserve"> —consultores, abogados, contables, diseñadores— cuya actividad genera y gestiona datos sensibles de terceros, incrementando su exposición legal ante una brecha de seguridad. La consolidación del </w:t>
      </w:r>
      <w:r>
        <w:rPr>
          <w:rFonts w:ascii="Calibri" w:cs="Calibri" w:eastAsia="Calibri" w:hAnsi="Calibri"/>
          <w:b/>
          <w:bCs/>
          <w:sz w:val="24"/>
          <w:szCs w:val="24"/>
        </w:rPr>
        <w:t xml:space="preserve">teletrabajo</w:t>
      </w:r>
      <w:r>
        <w:rPr>
          <w:rFonts w:ascii="Calibri" w:cs="Calibri" w:eastAsia="Calibri" w:hAnsi="Calibri"/>
          <w:sz w:val="24"/>
          <w:szCs w:val="24"/>
        </w:rPr>
        <w:t xml:space="preserve"> como modalidad habitual desde 2020 ha ampliado el perímetro de seguridad empresarial más allá de la oficina, aumentando la necesidad de soluciones de acceso remoto seguro compatibles con el diseño de SecureVault.</w:t>
      </w:r>
    </w:p>
    <w:p>
      <w:pPr>
        <w:spacing w:before="60" w:after="120"/>
        <w:jc w:val="both"/>
      </w:pPr>
      <w:r>
        <w:rPr>
          <w:rFonts w:ascii="Calibri" w:cs="Calibri" w:eastAsia="Calibri" w:hAnsi="Calibri"/>
          <w:sz w:val="24"/>
          <w:szCs w:val="24"/>
        </w:rPr>
        <w:t xml:space="preserve">Existe además una creciente desconfianza hacia los grandes proveedores cloud estadounidenses —motivada por la incertidumbre sobre la privacidad de los datos bajo la legislación norteamericana (CLOUD Act)— que favorece la adopción de soluciones con </w:t>
      </w:r>
      <w:r>
        <w:rPr>
          <w:rFonts w:ascii="Calibri" w:cs="Calibri" w:eastAsia="Calibri" w:hAnsi="Calibri"/>
          <w:b/>
          <w:bCs/>
          <w:sz w:val="24"/>
          <w:szCs w:val="24"/>
        </w:rPr>
        <w:t xml:space="preserve">infraestructura propia o europea</w:t>
      </w:r>
      <w:r>
        <w:rPr>
          <w:rFonts w:ascii="Calibri" w:cs="Calibri" w:eastAsia="Calibri" w:hAnsi="Calibri"/>
          <w:sz w:val="24"/>
          <w:szCs w:val="24"/>
        </w:rPr>
        <w:t xml:space="preserve">, propuesta de valor central de SecureVault.</w:t>
      </w:r>
    </w:p>
    <w:p>
      <w:pPr>
        <w:pBdr>
          <w:bottom w:val="single" w:color="2E75B6" w:sz="4" w:space="4"/>
        </w:pBdr>
        <w:spacing w:before="240" w:after="120"/>
      </w:pPr>
      <w:r>
        <w:rPr>
          <w:rFonts w:ascii="Calibri" w:cs="Calibri" w:eastAsia="Calibri" w:hAnsi="Calibri"/>
          <w:b/>
          <w:bCs/>
          <w:color w:val="1F3864"/>
          <w:sz w:val="24"/>
          <w:szCs w:val="24"/>
        </w:rPr>
        <w:t xml:space="preserve">4. Factores Tecnológicos</w:t>
      </w:r>
    </w:p>
    <w:p>
      <w:pPr>
        <w:spacing w:before="60" w:after="120"/>
        <w:jc w:val="both"/>
      </w:pPr>
      <w:r>
        <w:rPr>
          <w:rFonts w:ascii="Calibri" w:cs="Calibri" w:eastAsia="Calibri" w:hAnsi="Calibri"/>
          <w:sz w:val="24"/>
          <w:szCs w:val="24"/>
        </w:rPr>
        <w:t xml:space="preserve">España presenta una tasa de </w:t>
      </w:r>
      <w:r>
        <w:rPr>
          <w:rFonts w:ascii="Calibri" w:cs="Calibri" w:eastAsia="Calibri" w:hAnsi="Calibri"/>
          <w:b/>
          <w:bCs/>
          <w:sz w:val="24"/>
          <w:szCs w:val="24"/>
        </w:rPr>
        <w:t xml:space="preserve">penetración de banda ancha fija superior al 85 %</w:t>
      </w:r>
      <w:r>
        <w:rPr>
          <w:rFonts w:ascii="Calibri" w:cs="Calibri" w:eastAsia="Calibri" w:hAnsi="Calibri"/>
          <w:sz w:val="24"/>
          <w:szCs w:val="24"/>
        </w:rPr>
        <w:t xml:space="preserve"> de los hogares y empresas (CNMC, 2024), con despliegue de fibra óptica que alcanza el 90 % del territorio de la Comunidad de Madrid. Esta infraestructura garantiza las condiciones técnicas necesarias para el acceso al portal web de SecureVault con la latencia y el ancho de banda requeridos para la transferencia segura de archivos.</w:t>
      </w:r>
    </w:p>
    <w:p>
      <w:pPr>
        <w:spacing w:before="60" w:after="120"/>
        <w:jc w:val="both"/>
      </w:pPr>
      <w:r>
        <w:rPr>
          <w:rFonts w:ascii="Calibri" w:cs="Calibri" w:eastAsia="Calibri" w:hAnsi="Calibri"/>
          <w:sz w:val="24"/>
          <w:szCs w:val="24"/>
        </w:rPr>
        <w:t xml:space="preserve">El ecosistema tecnológico madrileño —con hubs como </w:t>
      </w:r>
      <w:r>
        <w:rPr>
          <w:rFonts w:ascii="Calibri" w:cs="Calibri" w:eastAsia="Calibri" w:hAnsi="Calibri"/>
          <w:b/>
          <w:bCs/>
          <w:sz w:val="24"/>
          <w:szCs w:val="24"/>
        </w:rPr>
        <w:t xml:space="preserve">Madrid Digital, Google for Startups Campus y el distrito de innovación 22@Madrid</w:t>
      </w:r>
      <w:r>
        <w:rPr>
          <w:rFonts w:ascii="Calibri" w:cs="Calibri" w:eastAsia="Calibri" w:hAnsi="Calibri"/>
          <w:sz w:val="24"/>
          <w:szCs w:val="24"/>
        </w:rPr>
        <w:t xml:space="preserve">— facilita el acceso a talento especializado en ciberseguridad, virtualización y desarrollo de software, recursos críticos para el equipo técnico de SecureVault. La madurez de tecnologías como la </w:t>
      </w:r>
      <w:r>
        <w:rPr>
          <w:rFonts w:ascii="Calibri" w:cs="Calibri" w:eastAsia="Calibri" w:hAnsi="Calibri"/>
          <w:b/>
          <w:bCs/>
          <w:sz w:val="24"/>
          <w:szCs w:val="24"/>
        </w:rPr>
        <w:t xml:space="preserve">virtualización (Proxmox VE), el cifrado AES-256 y los protocolos VPN de nueva generación (WireGuard)</w:t>
      </w:r>
      <w:r>
        <w:rPr>
          <w:rFonts w:ascii="Calibri" w:cs="Calibri" w:eastAsia="Calibri" w:hAnsi="Calibri"/>
          <w:sz w:val="24"/>
          <w:szCs w:val="24"/>
        </w:rPr>
        <w:t xml:space="preserve"> —todas ellas de código abierto y ampliamente documentadas— reduce el riesgo técnico del desarrollo del producto y elimina dependencias de proveedores propietarios.</w:t>
      </w:r>
    </w:p>
    <w:p>
      <w:pPr>
        <w:spacing w:before="60" w:after="120"/>
        <w:jc w:val="both"/>
      </w:pPr>
      <w:r>
        <w:rPr>
          <w:rFonts w:ascii="Calibri" w:cs="Calibri" w:eastAsia="Calibri" w:hAnsi="Calibri"/>
          <w:sz w:val="24"/>
          <w:szCs w:val="24"/>
        </w:rPr>
        <w:t xml:space="preserve">La creciente frecuencia y sofisticación de los ciberataques —con un incremento del </w:t>
      </w:r>
      <w:r>
        <w:rPr>
          <w:rFonts w:ascii="Calibri" w:cs="Calibri" w:eastAsia="Calibri" w:hAnsi="Calibri"/>
          <w:b/>
          <w:bCs/>
          <w:sz w:val="24"/>
          <w:szCs w:val="24"/>
        </w:rPr>
        <w:t xml:space="preserve">25 % en incidentes registrados en España en 2023</w:t>
      </w:r>
      <w:r>
        <w:rPr>
          <w:rFonts w:ascii="Calibri" w:cs="Calibri" w:eastAsia="Calibri" w:hAnsi="Calibri"/>
          <w:sz w:val="24"/>
          <w:szCs w:val="24"/>
        </w:rPr>
        <w:t xml:space="preserve"> según el INCIBE— actúa como catalizador de la demanda, al tiempo que exige que la solución mantenga sus capacidades técnicas actualizadas.</w:t>
      </w:r>
    </w:p>
    <w:p>
      <w:pPr>
        <w:pBdr>
          <w:bottom w:val="single" w:color="2E75B6" w:sz="4" w:space="4"/>
        </w:pBdr>
        <w:spacing w:before="240" w:after="120"/>
      </w:pPr>
      <w:r>
        <w:rPr>
          <w:rFonts w:ascii="Calibri" w:cs="Calibri" w:eastAsia="Calibri" w:hAnsi="Calibri"/>
          <w:b/>
          <w:bCs/>
          <w:color w:val="1F3864"/>
          <w:sz w:val="24"/>
          <w:szCs w:val="24"/>
        </w:rPr>
        <w:t xml:space="preserve">5. Factores Ecológicos y Medioambientales</w:t>
      </w:r>
    </w:p>
    <w:p>
      <w:pPr>
        <w:spacing w:before="60" w:after="120"/>
        <w:jc w:val="both"/>
      </w:pPr>
      <w:r>
        <w:rPr>
          <w:rFonts w:ascii="Calibri" w:cs="Calibri" w:eastAsia="Calibri" w:hAnsi="Calibri"/>
          <w:sz w:val="24"/>
          <w:szCs w:val="24"/>
        </w:rPr>
        <w:t xml:space="preserve">La arquitectura de SecureVault, basada en infraestructura propia del cliente (</w:t>
      </w:r>
      <w:r>
        <w:rPr>
          <w:rFonts w:ascii="Calibri" w:cs="Calibri" w:eastAsia="Calibri" w:hAnsi="Calibri"/>
          <w:b/>
          <w:bCs/>
          <w:sz w:val="24"/>
          <w:szCs w:val="24"/>
        </w:rPr>
        <w:t xml:space="preserve">on-premise</w:t>
      </w:r>
      <w:r>
        <w:rPr>
          <w:rFonts w:ascii="Calibri" w:cs="Calibri" w:eastAsia="Calibri" w:hAnsi="Calibri"/>
          <w:sz w:val="24"/>
          <w:szCs w:val="24"/>
        </w:rPr>
        <w:t xml:space="preserve">), presenta una ventaja diferencial desde la perspectiva medioambiental frente a los grandes centros de datos hyperscale: el cliente utiliza recursos computacionales ya existentes o dimensionados a su necesidad real, evitando el sobreaprovisionamiento energético característico de los proveedores cloud masivos. Esto conecta con la </w:t>
      </w:r>
      <w:r>
        <w:rPr>
          <w:rFonts w:ascii="Calibri" w:cs="Calibri" w:eastAsia="Calibri" w:hAnsi="Calibri"/>
          <w:b/>
          <w:bCs/>
          <w:sz w:val="24"/>
          <w:szCs w:val="24"/>
        </w:rPr>
        <w:t xml:space="preserve">Estrategia Europea de Datos</w:t>
      </w:r>
      <w:r>
        <w:rPr>
          <w:rFonts w:ascii="Calibri" w:cs="Calibri" w:eastAsia="Calibri" w:hAnsi="Calibri"/>
          <w:sz w:val="24"/>
          <w:szCs w:val="24"/>
        </w:rPr>
        <w:t xml:space="preserve"> y el Green Deal de la UE, que promueven la eficiencia energética en el tratamiento de datos.</w:t>
      </w:r>
    </w:p>
    <w:p>
      <w:pPr>
        <w:spacing w:before="60" w:after="120"/>
        <w:jc w:val="both"/>
      </w:pPr>
      <w:r>
        <w:rPr>
          <w:rFonts w:ascii="Calibri" w:cs="Calibri" w:eastAsia="Calibri" w:hAnsi="Calibri"/>
          <w:sz w:val="24"/>
          <w:szCs w:val="24"/>
        </w:rPr>
        <w:t xml:space="preserve">La Comunidad de Madrid ha aprobado su </w:t>
      </w:r>
      <w:r>
        <w:rPr>
          <w:rFonts w:ascii="Calibri" w:cs="Calibri" w:eastAsia="Calibri" w:hAnsi="Calibri"/>
          <w:b/>
          <w:bCs/>
          <w:sz w:val="24"/>
          <w:szCs w:val="24"/>
        </w:rPr>
        <w:t xml:space="preserve">Estrategia de Economía Circular 2030</w:t>
      </w:r>
      <w:r>
        <w:rPr>
          <w:rFonts w:ascii="Calibri" w:cs="Calibri" w:eastAsia="Calibri" w:hAnsi="Calibri"/>
          <w:sz w:val="24"/>
          <w:szCs w:val="24"/>
        </w:rPr>
        <w:t xml:space="preserve">, que incluye incentivos para empresas con menor huella digital. Si bien el impacto directo sobre SecureVault es limitado en la fase inicial, la sensibilidad ambiental del cliente empresarial madrileño representa un argumento de venta adicional en segmentos donde la responsabilidad corporativa es relevante (despachos profesionales, consultoras, empresas con reporte ESG).</w:t>
      </w:r>
    </w:p>
    <w:p>
      <w:pPr>
        <w:pBdr>
          <w:bottom w:val="single" w:color="2E75B6" w:sz="4" w:space="4"/>
        </w:pBdr>
        <w:spacing w:before="240" w:after="120"/>
      </w:pPr>
      <w:r>
        <w:rPr>
          <w:rFonts w:ascii="Calibri" w:cs="Calibri" w:eastAsia="Calibri" w:hAnsi="Calibri"/>
          <w:b/>
          <w:bCs/>
          <w:color w:val="1F3864"/>
          <w:sz w:val="24"/>
          <w:szCs w:val="24"/>
        </w:rPr>
        <w:t xml:space="preserve">Síntesis del Entorno Genérico</w:t>
      </w:r>
    </w:p>
    <w:p>
      <w:pPr>
        <w:spacing w:before="60" w:after="120"/>
        <w:jc w:val="both"/>
      </w:pPr>
      <w:r>
        <w:rPr>
          <w:rFonts w:ascii="Calibri" w:cs="Calibri" w:eastAsia="Calibri" w:hAnsi="Calibri"/>
          <w:sz w:val="24"/>
          <w:szCs w:val="24"/>
        </w:rPr>
        <w:t xml:space="preserve">El análisis PESTEL muestra que el entorno genérico de la Comunidad de Madrid es </w:t>
      </w:r>
      <w:r>
        <w:rPr>
          <w:rFonts w:ascii="Calibri" w:cs="Calibri" w:eastAsia="Calibri" w:hAnsi="Calibri"/>
          <w:b/>
          <w:bCs/>
          <w:sz w:val="24"/>
          <w:szCs w:val="24"/>
        </w:rPr>
        <w:t xml:space="preserve">favorable</w:t>
      </w:r>
      <w:r>
        <w:rPr>
          <w:rFonts w:ascii="Calibri" w:cs="Calibri" w:eastAsia="Calibri" w:hAnsi="Calibri"/>
          <w:sz w:val="24"/>
          <w:szCs w:val="24"/>
        </w:rPr>
        <w:t xml:space="preserve"> para SecureVault en todos sus ejes. El factor legal actúa como impulsor estructural de la demanda; el económico garantiza un mercado amplio y con capacidad de pago; el social refleja una conciencia creciente del riesgo; el tecnológico asegura tanto la viabilidad técnica como el acceso a talento; y el medioambiental ofrece una narrativa de diferenciación frente a las grandes plataformas cloud. Los principales riesgos del entorno genérico se concentran en la velocidad de cambio regulatorio y en la evolución de los tipos de interés, que afectarán al coste de la inversión inicial.</w:t>
      </w:r>
    </w:p>
    <w:p>
      <w:pPr>
        <w:spacing w:after="80"/>
      </w:pPr>
      <w:r>
        <w:rPr>
          <w:sz w:val="24"/>
          <w:szCs w:val="24"/>
        </w:rPr>
        <w:t xml:space="preserve"/>
      </w:r>
    </w:p>
    <w:p>
      <w:pPr>
        <w:pBdr>
          <w:top w:val="single" w:color="CCCCCC" w:sz="2" w:space="6"/>
        </w:pBdr>
        <w:spacing w:before="200"/>
      </w:pPr>
      <w:r>
        <w:rPr>
          <w:rFonts w:ascii="Calibri" w:cs="Calibri" w:eastAsia="Calibri" w:hAnsi="Calibri"/>
          <w:i/>
          <w:iCs/>
          <w:color w:val="666666"/>
          <w:sz w:val="18"/>
          <w:szCs w:val="18"/>
        </w:rPr>
        <w:t xml:space="preserve">Fuentes de referencia: INE (2024), CNMC (2024), Gartner (2024), INCIBE (2023), EUR-Lex RGPD/2016/679, Directiva NIS2 (UE) 2022/2555, Plan de Digitalización de PYMEs 2021-2025 (Ministerio de Asuntos Económicos).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2026-03-15T16:11:40.093Z</dcterms:created>
  <dcterms:modified xsi:type="dcterms:W3CDTF">2026-03-15T16:11:40.094Z</dcterms:modified>
</cp:coreProperties>
</file>

<file path=docProps/custom.xml><?xml version="1.0" encoding="utf-8"?>
<Properties xmlns="http://schemas.openxmlformats.org/officeDocument/2006/custom-properties" xmlns:vt="http://schemas.openxmlformats.org/officeDocument/2006/docPropsVTypes"/>
</file>