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Calibri" w:cs="Calibri" w:eastAsia="Calibri" w:hAnsi="Calibri"/>
          <w:b/>
          <w:bCs/>
          <w:sz w:val="28"/>
          <w:szCs w:val="28"/>
        </w:rPr>
        <w:t xml:space="preserve">b.1. Analisis del Entorno Generico (PESTEL)</w:t>
      </w:r>
    </w:p>
    <w:p>
      <w:pPr>
        <w:spacing w:before="0" w:after="240"/>
        <w:jc w:val="center"/>
      </w:pPr>
      <w:r>
        <w:rPr>
          <w:rFonts w:ascii="Calibri" w:cs="Calibri" w:eastAsia="Calibri" w:hAnsi="Calibri"/>
          <w:i/>
          <w:iCs/>
          <w:sz w:val="24"/>
          <w:szCs w:val="24"/>
        </w:rPr>
        <w:t xml:space="preserve">Empresa de Proteccion Digital — Region de Madrid</w:t>
      </w:r>
    </w:p>
    <w:p>
      <w:pPr>
        <w:spacing w:before="60" w:after="60" w:line="360"/>
      </w:pPr>
      <w:r>
        <w:rPr>
          <w:rFonts w:ascii="Calibri" w:cs="Calibri" w:eastAsia="Calibri" w:hAnsi="Calibri"/>
          <w:sz w:val="24"/>
          <w:szCs w:val="24"/>
        </w:rPr>
        <w:t xml:space="preserve">A continuacion se analizan los principales factores del entorno generico que afectan a una empresa de proteccion digital y almacenamiento cifrado implantada en la Comunidad de Madrid, siguiendo el marco PESTEL.</w:t>
      </w:r>
    </w:p>
    <w:p>
      <w:pPr>
        <w:spacing w:before="60" w:after="60"/>
      </w:pPr>
      <w:r>
        <w:t xml:space="preserve"/>
      </w:r>
    </w:p>
    <w:p>
      <w:pPr>
        <w:spacing w:before="200" w:after="80"/>
      </w:pPr>
      <w:r>
        <w:rPr>
          <w:rFonts w:ascii="Calibri" w:cs="Calibri" w:eastAsia="Calibri" w:hAnsi="Calibri"/>
          <w:b/>
          <w:bCs/>
          <w:sz w:val="24"/>
          <w:szCs w:val="24"/>
          <w:u w:val="single"/>
        </w:rPr>
        <w:t xml:space="preserve">1. Factores Economicos</w:t>
      </w:r>
    </w:p>
    <w:p>
      <w:pPr>
        <w:pStyle w:val="ListParagraph"/>
        <w:numPr>
          <w:ilvl w:val="0"/>
          <w:numId w:val="2"/>
        </w:numPr>
        <w:spacing w:before="40" w:after="40" w:line="360"/>
      </w:pPr>
      <w:r>
        <w:rPr>
          <w:rFonts w:ascii="Calibri" w:cs="Calibri" w:eastAsia="Calibri" w:hAnsi="Calibri"/>
          <w:sz w:val="24"/>
          <w:szCs w:val="24"/>
        </w:rPr>
        <w:t xml:space="preserve">Crecimiento sostenido del mercado: El sector de ciberseguridad crece a mas del 10% anual en Espana, con previsiones de superar los 2.000 millones de euros en 2026. El segmento PYME, que representa el 99% del tejido empresarial espanol, esta aun poco atendido.</w:t>
      </w:r>
    </w:p>
    <w:p>
      <w:pPr>
        <w:pStyle w:val="ListParagraph"/>
        <w:numPr>
          <w:ilvl w:val="0"/>
          <w:numId w:val="2"/>
        </w:numPr>
        <w:spacing w:before="40" w:after="40" w:line="360"/>
      </w:pPr>
      <w:r>
        <w:rPr>
          <w:rFonts w:ascii="Calibri" w:cs="Calibri" w:eastAsia="Calibri" w:hAnsi="Calibri"/>
          <w:sz w:val="24"/>
          <w:szCs w:val="24"/>
        </w:rPr>
        <w:t xml:space="preserve">Fondos Next Generation EU: El Plan de Recuperacion incluye partidas especificas para digitalizacion y ciberseguridad, facilitando el acceso a subvenciones tanto para la empresa como para sus clientes potenciales.</w:t>
      </w:r>
    </w:p>
    <w:p>
      <w:pPr>
        <w:pStyle w:val="ListParagraph"/>
        <w:numPr>
          <w:ilvl w:val="0"/>
          <w:numId w:val="2"/>
        </w:numPr>
        <w:spacing w:before="40" w:after="40" w:line="360"/>
      </w:pPr>
      <w:r>
        <w:rPr>
          <w:rFonts w:ascii="Calibri" w:cs="Calibri" w:eastAsia="Calibri" w:hAnsi="Calibri"/>
          <w:sz w:val="24"/>
          <w:szCs w:val="24"/>
        </w:rPr>
        <w:t xml:space="preserve">Presion de grandes proveedores cloud: AWS, Azure o Google Cloud imponen precios altos y condiciones poco flexibles. Una solucion basada en infraestructura propia permite ofrecer un servicio mas economico y sin dependencia tecnologica externa.</w:t>
      </w:r>
    </w:p>
    <w:p>
      <w:pPr>
        <w:spacing w:before="60" w:after="60"/>
      </w:pPr>
      <w:r>
        <w:t xml:space="preserve"/>
      </w:r>
    </w:p>
    <w:p>
      <w:pPr>
        <w:spacing w:before="200" w:after="80"/>
      </w:pPr>
      <w:r>
        <w:rPr>
          <w:rFonts w:ascii="Calibri" w:cs="Calibri" w:eastAsia="Calibri" w:hAnsi="Calibri"/>
          <w:b/>
          <w:bCs/>
          <w:sz w:val="24"/>
          <w:szCs w:val="24"/>
          <w:u w:val="single"/>
        </w:rPr>
        <w:t xml:space="preserve">2. Factores Sociales</w:t>
      </w:r>
    </w:p>
    <w:p>
      <w:pPr>
        <w:pStyle w:val="ListParagraph"/>
        <w:numPr>
          <w:ilvl w:val="0"/>
          <w:numId w:val="2"/>
        </w:numPr>
        <w:spacing w:before="40" w:after="40" w:line="360"/>
      </w:pPr>
      <w:r>
        <w:rPr>
          <w:rFonts w:ascii="Calibri" w:cs="Calibri" w:eastAsia="Calibri" w:hAnsi="Calibri"/>
          <w:sz w:val="24"/>
          <w:szCs w:val="24"/>
        </w:rPr>
        <w:t xml:space="preserve">Digitalizacion acelerada: Desde 2020, el teletrabajo y los servicios en la nube han ampliado enormemente la superficie de ataque de las organizaciones, generando nueva demanda de proteccion de datos.</w:t>
      </w:r>
    </w:p>
    <w:p>
      <w:pPr>
        <w:pStyle w:val="ListParagraph"/>
        <w:numPr>
          <w:ilvl w:val="0"/>
          <w:numId w:val="2"/>
        </w:numPr>
        <w:spacing w:before="40" w:after="40" w:line="360"/>
      </w:pPr>
      <w:r>
        <w:rPr>
          <w:rFonts w:ascii="Calibri" w:cs="Calibri" w:eastAsia="Calibri" w:hAnsi="Calibri"/>
          <w:sz w:val="24"/>
          <w:szCs w:val="24"/>
        </w:rPr>
        <w:t xml:space="preserve">Escasez de talento: Espana tiene un deficit estimado de mas de 30.000 profesionales de ciberseguridad, lo que encarece los equipos internos y refuerza la necesidad de externalizar este tipo de servicios.</w:t>
      </w:r>
    </w:p>
    <w:p>
      <w:pPr>
        <w:pStyle w:val="ListParagraph"/>
        <w:numPr>
          <w:ilvl w:val="0"/>
          <w:numId w:val="2"/>
        </w:numPr>
        <w:spacing w:before="40" w:after="40" w:line="360"/>
      </w:pPr>
      <w:r>
        <w:rPr>
          <w:rFonts w:ascii="Calibri" w:cs="Calibri" w:eastAsia="Calibri" w:hAnsi="Calibri"/>
          <w:sz w:val="24"/>
          <w:szCs w:val="24"/>
        </w:rPr>
        <w:t xml:space="preserve">Desconfianza hacia plataformas extranjeras: Crece la preferencia por soluciones de almacenamiento locales o nacionales, por preocupaciones sobre privacidad frente a proveedores estadounidenses o asiaticos.</w:t>
      </w:r>
    </w:p>
    <w:p>
      <w:pPr>
        <w:spacing w:before="60" w:after="60"/>
      </w:pPr>
      <w:r>
        <w:t xml:space="preserve"/>
      </w:r>
    </w:p>
    <w:p>
      <w:pPr>
        <w:spacing w:before="200" w:after="80"/>
      </w:pPr>
      <w:r>
        <w:rPr>
          <w:rFonts w:ascii="Calibri" w:cs="Calibri" w:eastAsia="Calibri" w:hAnsi="Calibri"/>
          <w:b/>
          <w:bCs/>
          <w:sz w:val="24"/>
          <w:szCs w:val="24"/>
          <w:u w:val="single"/>
        </w:rPr>
        <w:t xml:space="preserve">3. Factores Tecnologicos</w:t>
      </w:r>
    </w:p>
    <w:p>
      <w:pPr>
        <w:pStyle w:val="ListParagraph"/>
        <w:numPr>
          <w:ilvl w:val="0"/>
          <w:numId w:val="2"/>
        </w:numPr>
        <w:spacing w:before="40" w:after="40" w:line="360"/>
      </w:pPr>
      <w:r>
        <w:rPr>
          <w:rFonts w:ascii="Calibri" w:cs="Calibri" w:eastAsia="Calibri" w:hAnsi="Calibri"/>
          <w:sz w:val="24"/>
          <w:szCs w:val="24"/>
        </w:rPr>
        <w:t xml:space="preserve">Aumento de ciberataques: El INCIBE registro mas de 80.000 incidentes en Espana en 2023, un 24% mas que el ano anterior. El ransomware y el phishing afectan cada vez mas a PYMEs sin proteccion adecuada.</w:t>
      </w:r>
    </w:p>
    <w:p>
      <w:pPr>
        <w:pStyle w:val="ListParagraph"/>
        <w:numPr>
          <w:ilvl w:val="0"/>
          <w:numId w:val="2"/>
        </w:numPr>
        <w:spacing w:before="40" w:after="40" w:line="360"/>
      </w:pPr>
      <w:r>
        <w:rPr>
          <w:rFonts w:ascii="Calibri" w:cs="Calibri" w:eastAsia="Calibri" w:hAnsi="Calibri"/>
          <w:sz w:val="24"/>
          <w:szCs w:val="24"/>
        </w:rPr>
        <w:t xml:space="preserve">Inteligencia Artificial: La IA mejora la deteccion de amenazas pero tambien sofistica los ataques, exigiendo actualizacion continua del servicio para mantenerse por delante de los atacantes.</w:t>
      </w:r>
    </w:p>
    <w:p>
      <w:pPr>
        <w:pStyle w:val="ListParagraph"/>
        <w:numPr>
          <w:ilvl w:val="0"/>
          <w:numId w:val="2"/>
        </w:numPr>
        <w:spacing w:before="40" w:after="40" w:line="360"/>
      </w:pPr>
      <w:r>
        <w:rPr>
          <w:rFonts w:ascii="Calibri" w:cs="Calibri" w:eastAsia="Calibri" w:hAnsi="Calibri"/>
          <w:sz w:val="24"/>
          <w:szCs w:val="24"/>
        </w:rPr>
        <w:t xml:space="preserve">Tecnologia open source madura: Herramientas como LUKS, WireGuard o PostgreSQL permiten construir una solucion robusta con costes de licencia reducidos, lo que hace viable el proyecto dentro del presupuesto disponible.</w:t>
      </w:r>
    </w:p>
    <w:p>
      <w:pPr>
        <w:spacing w:before="60" w:after="60"/>
      </w:pPr>
      <w:r>
        <w:t xml:space="preserve"/>
      </w:r>
    </w:p>
    <w:p>
      <w:pPr>
        <w:spacing w:before="200" w:after="80"/>
      </w:pPr>
      <w:r>
        <w:rPr>
          <w:rFonts w:ascii="Calibri" w:cs="Calibri" w:eastAsia="Calibri" w:hAnsi="Calibri"/>
          <w:b/>
          <w:bCs/>
          <w:sz w:val="24"/>
          <w:szCs w:val="24"/>
          <w:u w:val="single"/>
        </w:rPr>
        <w:t xml:space="preserve">4. Factores Medioambientales</w:t>
      </w:r>
    </w:p>
    <w:p>
      <w:pPr>
        <w:pStyle w:val="ListParagraph"/>
        <w:numPr>
          <w:ilvl w:val="0"/>
          <w:numId w:val="2"/>
        </w:numPr>
        <w:spacing w:before="40" w:after="40" w:line="360"/>
      </w:pPr>
      <w:r>
        <w:rPr>
          <w:rFonts w:ascii="Calibri" w:cs="Calibri" w:eastAsia="Calibri" w:hAnsi="Calibri"/>
          <w:sz w:val="24"/>
          <w:szCs w:val="24"/>
        </w:rPr>
        <w:t xml:space="preserve">Eficiencia energetica: Los servidores locales de bajo consumo generan una huella de carbono significativamente menor que los grandes centros de datos cloud, lo que puede ser un argumento diferenciador ante clientes con compromisos ESG.</w:t>
      </w:r>
    </w:p>
    <w:p>
      <w:pPr>
        <w:pStyle w:val="ListParagraph"/>
        <w:numPr>
          <w:ilvl w:val="0"/>
          <w:numId w:val="2"/>
        </w:numPr>
        <w:spacing w:before="40" w:after="40" w:line="360"/>
      </w:pPr>
      <w:r>
        <w:rPr>
          <w:rFonts w:ascii="Calibri" w:cs="Calibri" w:eastAsia="Calibri" w:hAnsi="Calibri"/>
          <w:sz w:val="24"/>
          <w:szCs w:val="24"/>
        </w:rPr>
        <w:t xml:space="preserve">Requisitos ESG: Las grandes empresas deben reportar criterios de gobernanza que incluyen la seguridad de la informacion, convirtiendo la proteccion digital en un requisito de sostenibilidad corporativa, no solo tecnico.</w:t>
      </w:r>
    </w:p>
    <w:p>
      <w:pPr>
        <w:spacing w:before="60" w:after="60"/>
      </w:pPr>
      <w:r>
        <w:t xml:space="preserve"/>
      </w:r>
    </w:p>
    <w:p>
      <w:pPr>
        <w:spacing w:before="200" w:after="80"/>
      </w:pPr>
      <w:r>
        <w:rPr>
          <w:rFonts w:ascii="Calibri" w:cs="Calibri" w:eastAsia="Calibri" w:hAnsi="Calibri"/>
          <w:b/>
          <w:bCs/>
          <w:sz w:val="24"/>
          <w:szCs w:val="24"/>
          <w:u w:val="single"/>
        </w:rPr>
        <w:t xml:space="preserve">5. Factores Legales</w:t>
      </w:r>
    </w:p>
    <w:p>
      <w:pPr>
        <w:pStyle w:val="ListParagraph"/>
        <w:numPr>
          <w:ilvl w:val="0"/>
          <w:numId w:val="2"/>
        </w:numPr>
        <w:spacing w:before="40" w:after="40" w:line="360"/>
      </w:pPr>
      <w:r>
        <w:rPr>
          <w:rFonts w:ascii="Calibri" w:cs="Calibri" w:eastAsia="Calibri" w:hAnsi="Calibri"/>
          <w:sz w:val="24"/>
          <w:szCs w:val="24"/>
        </w:rPr>
        <w:t xml:space="preserve">RGPD y LOPDGDD: Obligan a cualquier organizacion que trate datos personales a garantizar su proteccion. Las sanciones pueden alcanzar el 4% de la facturacion global anual, lo que convierte la ciberseguridad en una necesidad legal, no opcional.</w:t>
      </w:r>
    </w:p>
    <w:p>
      <w:pPr>
        <w:pStyle w:val="ListParagraph"/>
        <w:numPr>
          <w:ilvl w:val="0"/>
          <w:numId w:val="2"/>
        </w:numPr>
        <w:spacing w:before="40" w:after="40" w:line="360"/>
      </w:pPr>
      <w:r>
        <w:rPr>
          <w:rFonts w:ascii="Calibri" w:cs="Calibri" w:eastAsia="Calibri" w:hAnsi="Calibri"/>
          <w:sz w:val="24"/>
          <w:szCs w:val="24"/>
        </w:rPr>
        <w:t xml:space="preserve">Directiva NIS2 (2022): Amplia los sectores obligados a implantar medidas de seguridad informatica (energia, salud, transporte, administracion publica), aumentando directamente el mercado potencial del servicio.</w:t>
      </w:r>
    </w:p>
    <w:p>
      <w:pPr>
        <w:pStyle w:val="ListParagraph"/>
        <w:numPr>
          <w:ilvl w:val="0"/>
          <w:numId w:val="2"/>
        </w:numPr>
        <w:spacing w:before="40" w:after="40" w:line="360"/>
      </w:pPr>
      <w:r>
        <w:rPr>
          <w:rFonts w:ascii="Calibri" w:cs="Calibri" w:eastAsia="Calibri" w:hAnsi="Calibri"/>
          <w:sz w:val="24"/>
          <w:szCs w:val="24"/>
        </w:rPr>
        <w:t xml:space="preserve">Esquema Nacional de Seguridad (ENS): Certificacion obligatoria para operar con la Administracion Publica. Actua como barrera de entrada pero tambien como ventaja competitiva diferencial una vez obtenida.</w:t>
      </w:r>
    </w:p>
    <w:p>
      <w:pPr>
        <w:spacing w:before="60" w:after="60"/>
      </w:pPr>
      <w:r>
        <w:t xml:space="preserve"/>
      </w:r>
    </w:p>
    <w:p>
      <w:pPr>
        <w:spacing w:before="200" w:after="80"/>
      </w:pPr>
      <w:r>
        <w:rPr>
          <w:rFonts w:ascii="Calibri" w:cs="Calibri" w:eastAsia="Calibri" w:hAnsi="Calibri"/>
          <w:b/>
          <w:bCs/>
          <w:sz w:val="24"/>
          <w:szCs w:val="24"/>
          <w:u w:val="single"/>
        </w:rPr>
        <w:t xml:space="preserve">Resumen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Factor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Impacto</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Implicacion para el negocio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Politico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Alto</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Agenda Digital Europea y Plan PYME generan apoyo institucional y financiacion publica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Economico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Mercado en expansion &gt;10% anual; fondos Next Generation EU disponibles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Social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Alto</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Digitalizacion acelerada y escasez de talento refuerzan la demanda externalizada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Tecnologico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Muy 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Aumento de ciberataques e IA; tecnologia open source permite solucion viable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Medioambiental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Medio</w:t>
            </w:r>
          </w:p>
        </w:tc>
        <w:tc>
          <w:tcPr>
            <w:tcW w:type="dxa" w:w="4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sz w:val="22"/>
                <w:szCs w:val="22"/>
              </w:rPr>
              <w:t xml:space="preserve">Infraestructura local eficiente; requisito ESG de gobernanza de datos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Muy 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2"/>
                <w:szCs w:val="22"/>
              </w:rPr>
              <w:t xml:space="preserve">RGPD, NIS2 y LOPDGDD generan demanda legal obligada de proteccion de datos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2026-03-15T16:04:18.691Z</dcterms:created>
  <dcterms:modified xsi:type="dcterms:W3CDTF">2026-03-15T16:04:18.693Z</dcterms:modified>
</cp:coreProperties>
</file>

<file path=docProps/custom.xml><?xml version="1.0" encoding="utf-8"?>
<Properties xmlns="http://schemas.openxmlformats.org/officeDocument/2006/custom-properties" xmlns:vt="http://schemas.openxmlformats.org/officeDocument/2006/docPropsVTypes"/>
</file>