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0"/>
        <w:jc w:val="center"/>
      </w:pPr>
      <w:r>
        <w:rPr>
          <w:rFonts w:ascii="Calibri" w:cs="Calibri" w:eastAsia="Calibri" w:hAnsi="Calibri"/>
          <w:b/>
          <w:bCs/>
          <w:sz w:val="28"/>
          <w:szCs w:val="28"/>
        </w:rPr>
        <w:t xml:space="preserve">b.1. Analisis del Entorno Generico (PESTEL)</w:t>
      </w:r>
    </w:p>
    <w:p>
      <w:pPr>
        <w:spacing w:before="0" w:after="240"/>
        <w:jc w:val="center"/>
      </w:pPr>
      <w:r>
        <w:rPr>
          <w:rFonts w:ascii="Calibri" w:cs="Calibri" w:eastAsia="Calibri" w:hAnsi="Calibri"/>
          <w:i/>
          <w:iCs/>
          <w:sz w:val="24"/>
          <w:szCs w:val="24"/>
        </w:rPr>
        <w:t xml:space="preserve">Empresa de Proteccion Digital — Region de Madrid</w:t>
      </w:r>
    </w:p>
    <w:p>
      <w:pPr>
        <w:spacing w:before="60" w:after="60" w:line="360"/>
      </w:pPr>
      <w:r>
        <w:rPr>
          <w:rFonts w:ascii="Calibri" w:cs="Calibri" w:eastAsia="Calibri" w:hAnsi="Calibri"/>
          <w:sz w:val="24"/>
          <w:szCs w:val="24"/>
        </w:rPr>
        <w:t xml:space="preserve">El presente analisis examina los principales factores del macroentorno que condicionan la actividad de una empresa dedicada a la proteccion digital, el almacenamiento seguro de datos y la ciberseguridad, con implantacion en la Comunidad de Madrid. Para ello se emplea el marco PESTEL (Politico, Economico, Social, Tecnologico, Ecologico y Legal), siguiendo la propuesta de la OIT para el analisis del entorno generico de la empresa.</w:t>
      </w:r>
    </w:p>
    <w:p>
      <w:pPr>
        <w:spacing w:before="60" w:after="60"/>
      </w:pPr>
      <w:r>
        <w:t xml:space="preserve"/>
      </w:r>
    </w:p>
    <w:p>
      <w:pPr>
        <w:spacing w:before="200" w:after="80"/>
      </w:pPr>
      <w:r>
        <w:rPr>
          <w:rFonts w:ascii="Calibri" w:cs="Calibri" w:eastAsia="Calibri" w:hAnsi="Calibri"/>
          <w:b/>
          <w:bCs/>
          <w:sz w:val="24"/>
          <w:szCs w:val="24"/>
          <w:u w:val="single"/>
        </w:rPr>
        <w:t xml:space="preserve">1. Factores Politicos</w:t>
      </w:r>
    </w:p>
    <w:p>
      <w:pPr>
        <w:spacing w:before="60" w:after="60" w:line="360"/>
      </w:pPr>
      <w:r>
        <w:rPr>
          <w:rFonts w:ascii="Calibri" w:cs="Calibri" w:eastAsia="Calibri" w:hAnsi="Calibri"/>
          <w:sz w:val="24"/>
          <w:szCs w:val="24"/>
        </w:rPr>
        <w:t xml:space="preserve">El contexto politico-institucional en Espana y la Union Europea presenta una orientacion claramente favorable a la inversion en ciberseguridad, con una agenda digital que situa la proteccion de datos como prioridad estrategica.</w:t>
      </w:r>
    </w:p>
    <w:p>
      <w:pPr>
        <w:pStyle w:val="ListParagraph"/>
        <w:numPr>
          <w:ilvl w:val="0"/>
          <w:numId w:val="2"/>
        </w:numPr>
        <w:spacing w:before="40" w:after="40" w:line="360"/>
      </w:pPr>
      <w:r>
        <w:rPr>
          <w:rFonts w:ascii="Calibri" w:cs="Calibri" w:eastAsia="Calibri" w:hAnsi="Calibri"/>
          <w:sz w:val="24"/>
          <w:szCs w:val="24"/>
        </w:rPr>
        <w:t xml:space="preserve">Agenda Digital Europea: La Estrategia Digital de la UE (2020-2030) establece la ciberseguridad como pilar fundamental de la soberania digital europea. Espana ha adaptado esta agenda a traves del Plan de Digitalizacion de PYMEs 2021-2025, que incluye ayudas directas para implantar soluciones de seguridad informatica.</w:t>
      </w:r>
    </w:p>
    <w:p>
      <w:pPr>
        <w:pStyle w:val="ListParagraph"/>
        <w:numPr>
          <w:ilvl w:val="0"/>
          <w:numId w:val="2"/>
        </w:numPr>
        <w:spacing w:before="40" w:after="40" w:line="360"/>
      </w:pPr>
      <w:r>
        <w:rPr>
          <w:rFonts w:ascii="Calibri" w:cs="Calibri" w:eastAsia="Calibri" w:hAnsi="Calibri"/>
          <w:sz w:val="24"/>
          <w:szCs w:val="24"/>
        </w:rPr>
        <w:t xml:space="preserve">Estabilidad politica e institucional: La Comunidad de Madrid goza de un entorno politico estable con una administracion activa en la promocion del ecosistema tecnologico. Iniciativas como el hub tecnologico de Madrid favorecen la instalacion de empresas del sector digital.</w:t>
      </w:r>
    </w:p>
    <w:p>
      <w:pPr>
        <w:pStyle w:val="ListParagraph"/>
        <w:numPr>
          <w:ilvl w:val="0"/>
          <w:numId w:val="2"/>
        </w:numPr>
        <w:spacing w:before="40" w:after="40" w:line="360"/>
      </w:pPr>
      <w:r>
        <w:rPr>
          <w:rFonts w:ascii="Calibri" w:cs="Calibri" w:eastAsia="Calibri" w:hAnsi="Calibri"/>
          <w:sz w:val="24"/>
          <w:szCs w:val="24"/>
        </w:rPr>
        <w:t xml:space="preserve">Politica de empleo tecnologico: El Gobierno espanol y la CAM han lanzado programas de formacion en ciberseguridad para reducir el deficit de talento, lo que a medio plazo facilitara la contratacion de perfiles tecnicos especializados.</w:t>
      </w:r>
    </w:p>
    <w:p>
      <w:pPr>
        <w:pStyle w:val="ListParagraph"/>
        <w:numPr>
          <w:ilvl w:val="0"/>
          <w:numId w:val="2"/>
        </w:numPr>
        <w:spacing w:before="40" w:after="40" w:line="360"/>
      </w:pPr>
      <w:r>
        <w:rPr>
          <w:rFonts w:ascii="Calibri" w:cs="Calibri" w:eastAsia="Calibri" w:hAnsi="Calibri"/>
          <w:sz w:val="24"/>
          <w:szCs w:val="24"/>
        </w:rPr>
        <w:t xml:space="preserve">Marco europeo de soberania de datos (GAIA-X): La iniciativa europea para crear una infraestructura de datos soberana favorece soluciones de almacenamiento locales y nacionales frente a proveedores extracomunitarios, alineandose directamente con el modelo de negocio propuesto.</w:t>
      </w:r>
    </w:p>
    <w:p>
      <w:pPr>
        <w:spacing w:before="60" w:after="60"/>
      </w:pPr>
      <w:r>
        <w:t xml:space="preserve"/>
      </w:r>
    </w:p>
    <w:p>
      <w:pPr>
        <w:spacing w:before="60" w:after="60" w:line="360"/>
      </w:pPr>
      <w:r>
        <w:rPr>
          <w:rFonts w:ascii="Calibri" w:cs="Calibri" w:eastAsia="Calibri" w:hAnsi="Calibri"/>
          <w:i/>
          <w:iCs/>
          <w:sz w:val="24"/>
          <w:szCs w:val="24"/>
        </w:rPr>
        <w:t xml:space="preserve">Impacto sobre el negocio: el apoyo politico activo genera financiacion publica y crea un entorno normativo que legitima y demanda el tipo de soluciones que ofrece SecureVault.</w:t>
      </w:r>
    </w:p>
    <w:p>
      <w:pPr>
        <w:spacing w:before="60" w:after="60"/>
      </w:pPr>
      <w:r>
        <w:t xml:space="preserve"/>
      </w:r>
    </w:p>
    <w:p>
      <w:pPr>
        <w:spacing w:before="200" w:after="80"/>
      </w:pPr>
      <w:r>
        <w:rPr>
          <w:rFonts w:ascii="Calibri" w:cs="Calibri" w:eastAsia="Calibri" w:hAnsi="Calibri"/>
          <w:b/>
          <w:bCs/>
          <w:sz w:val="24"/>
          <w:szCs w:val="24"/>
          <w:u w:val="single"/>
        </w:rPr>
        <w:t xml:space="preserve">2. Factores Economicos</w:t>
      </w:r>
    </w:p>
    <w:p>
      <w:pPr>
        <w:spacing w:before="60" w:after="60" w:line="360"/>
      </w:pPr>
      <w:r>
        <w:rPr>
          <w:rFonts w:ascii="Calibri" w:cs="Calibri" w:eastAsia="Calibri" w:hAnsi="Calibri"/>
          <w:sz w:val="24"/>
          <w:szCs w:val="24"/>
        </w:rPr>
        <w:t xml:space="preserve">El contexto economico espanol presenta tanto oportunidades como riesgos para una empresa de nueva creacion en este sector.</w:t>
      </w:r>
    </w:p>
    <w:p>
      <w:pPr>
        <w:pStyle w:val="ListParagraph"/>
        <w:numPr>
          <w:ilvl w:val="0"/>
          <w:numId w:val="2"/>
        </w:numPr>
        <w:spacing w:before="40" w:after="40" w:line="360"/>
      </w:pPr>
      <w:r>
        <w:rPr>
          <w:rFonts w:ascii="Calibri" w:cs="Calibri" w:eastAsia="Calibri" w:hAnsi="Calibri"/>
          <w:sz w:val="24"/>
          <w:szCs w:val="24"/>
        </w:rPr>
        <w:t xml:space="preserve">Crecimiento del mercado de ciberseguridad: El sector crece a tasas superiores al 10% anual en Espana. Las estimaciones apuntan a que el mercado nacional superara los 2.000 millones de euros en 2026, con especial dinamismo en el segmento de PYMEs, que representa mas del 99% del tejido empresarial espanol.</w:t>
      </w:r>
    </w:p>
    <w:p>
      <w:pPr>
        <w:pStyle w:val="ListParagraph"/>
        <w:numPr>
          <w:ilvl w:val="0"/>
          <w:numId w:val="2"/>
        </w:numPr>
        <w:spacing w:before="40" w:after="40" w:line="360"/>
      </w:pPr>
      <w:r>
        <w:rPr>
          <w:rFonts w:ascii="Calibri" w:cs="Calibri" w:eastAsia="Calibri" w:hAnsi="Calibri"/>
          <w:sz w:val="24"/>
          <w:szCs w:val="24"/>
        </w:rPr>
        <w:t xml:space="preserve">Fondos Next Generation EU: El Plan de Recuperacion espanol incluye partidas especificas para la digitalizacion y la ciberseguridad de empresas, con lineas de subvencion accesibles tanto para startups tecnologicas como para sus clientes potenciales.</w:t>
      </w:r>
    </w:p>
    <w:p>
      <w:pPr>
        <w:pStyle w:val="ListParagraph"/>
        <w:numPr>
          <w:ilvl w:val="0"/>
          <w:numId w:val="2"/>
        </w:numPr>
        <w:spacing w:before="40" w:after="40" w:line="360"/>
      </w:pPr>
      <w:r>
        <w:rPr>
          <w:rFonts w:ascii="Calibri" w:cs="Calibri" w:eastAsia="Calibri" w:hAnsi="Calibri"/>
          <w:sz w:val="24"/>
          <w:szCs w:val="24"/>
        </w:rPr>
        <w:t xml:space="preserve">Presion sobre margenes por parte de grandes proveedores cloud: Los gigantes tecnologicos como AWS o Microsoft Azure imponen sus condiciones de precio. Una solucion basada en infraestructura propia (on-premise) mitiga esta dependencia y permite ofrecer precios mas competitivos.</w:t>
      </w:r>
    </w:p>
    <w:p>
      <w:pPr>
        <w:pStyle w:val="ListParagraph"/>
        <w:numPr>
          <w:ilvl w:val="0"/>
          <w:numId w:val="2"/>
        </w:numPr>
        <w:spacing w:before="40" w:after="40" w:line="360"/>
      </w:pPr>
      <w:r>
        <w:rPr>
          <w:rFonts w:ascii="Calibri" w:cs="Calibri" w:eastAsia="Calibri" w:hAnsi="Calibri"/>
          <w:sz w:val="24"/>
          <w:szCs w:val="24"/>
        </w:rPr>
        <w:t xml:space="preserve">Resistencia inversora en PYME: En un entorno de costes crecientes, las empresas pequenas pueden mostrarse reacias a contratar nuevos servicios si no perciben el retorno claramente. La estrategia comercial debe comunicar el coste de un incidente de seguridad frente al coste de la proteccion preventiva.</w:t>
      </w:r>
    </w:p>
    <w:p>
      <w:pPr>
        <w:spacing w:before="60" w:after="60"/>
      </w:pPr>
      <w:r>
        <w:t xml:space="preserve"/>
      </w:r>
    </w:p>
    <w:p>
      <w:pPr>
        <w:spacing w:before="200" w:after="80"/>
      </w:pPr>
      <w:r>
        <w:rPr>
          <w:rFonts w:ascii="Calibri" w:cs="Calibri" w:eastAsia="Calibri" w:hAnsi="Calibri"/>
          <w:b/>
          <w:bCs/>
          <w:sz w:val="24"/>
          <w:szCs w:val="24"/>
          <w:u w:val="single"/>
        </w:rPr>
        <w:t xml:space="preserve">3. Factores Sociales</w:t>
      </w:r>
    </w:p>
    <w:p>
      <w:pPr>
        <w:spacing w:before="60" w:after="60" w:line="360"/>
      </w:pPr>
      <w:r>
        <w:rPr>
          <w:rFonts w:ascii="Calibri" w:cs="Calibri" w:eastAsia="Calibri" w:hAnsi="Calibri"/>
          <w:sz w:val="24"/>
          <w:szCs w:val="24"/>
        </w:rPr>
        <w:t xml:space="preserve">El entorno social espanol presenta tendencias que favorecen la adopcion de soluciones de ciberseguridad, especialmente entre empresas pequenas y medianas.</w:t>
      </w:r>
    </w:p>
    <w:p>
      <w:pPr>
        <w:pStyle w:val="ListParagraph"/>
        <w:numPr>
          <w:ilvl w:val="0"/>
          <w:numId w:val="2"/>
        </w:numPr>
        <w:spacing w:before="40" w:after="40" w:line="360"/>
      </w:pPr>
      <w:r>
        <w:rPr>
          <w:rFonts w:ascii="Calibri" w:cs="Calibri" w:eastAsia="Calibri" w:hAnsi="Calibri"/>
          <w:sz w:val="24"/>
          <w:szCs w:val="24"/>
        </w:rPr>
        <w:t xml:space="preserve">Digitalizacion acelerada post-pandemia: Desde 2020, la actividad empresarial ha migrado masivamente al entorno digital. El teletrabajo y los servicios en la nube han ampliado enormemente la superficie de ataque de las organizaciones, generando nueva demanda de proteccion.</w:t>
      </w:r>
    </w:p>
    <w:p>
      <w:pPr>
        <w:pStyle w:val="ListParagraph"/>
        <w:numPr>
          <w:ilvl w:val="0"/>
          <w:numId w:val="2"/>
        </w:numPr>
        <w:spacing w:before="40" w:after="40" w:line="360"/>
      </w:pPr>
      <w:r>
        <w:rPr>
          <w:rFonts w:ascii="Calibri" w:cs="Calibri" w:eastAsia="Calibri" w:hAnsi="Calibri"/>
          <w:sz w:val="24"/>
          <w:szCs w:val="24"/>
        </w:rPr>
        <w:t xml:space="preserve">Escasez de talento especializado: Espana cuenta con un deficit estimado de mas de 30.000 profesionales de ciberseguridad. Esto encarece el capital humano interno de las empresas y refuerza la necesidad de externalizar la proteccion digital a proveedores especializados.</w:t>
      </w:r>
    </w:p>
    <w:p>
      <w:pPr>
        <w:pStyle w:val="ListParagraph"/>
        <w:numPr>
          <w:ilvl w:val="0"/>
          <w:numId w:val="2"/>
        </w:numPr>
        <w:spacing w:before="40" w:after="40" w:line="360"/>
      </w:pPr>
      <w:r>
        <w:rPr>
          <w:rFonts w:ascii="Calibri" w:cs="Calibri" w:eastAsia="Calibri" w:hAnsi="Calibri"/>
          <w:sz w:val="24"/>
          <w:szCs w:val="24"/>
        </w:rPr>
        <w:t xml:space="preserve">Creciente concienciacion social: Las PYMEs muestran una mayor sensibilidad ante amenazas como el phishing o el ransomware, impulsada por la cobertura mediatica de incidentes de alto perfil que han afectado a empresas reconocibles.</w:t>
      </w:r>
    </w:p>
    <w:p>
      <w:pPr>
        <w:pStyle w:val="ListParagraph"/>
        <w:numPr>
          <w:ilvl w:val="0"/>
          <w:numId w:val="2"/>
        </w:numPr>
        <w:spacing w:before="40" w:after="40" w:line="360"/>
      </w:pPr>
      <w:r>
        <w:rPr>
          <w:rFonts w:ascii="Calibri" w:cs="Calibri" w:eastAsia="Calibri" w:hAnsi="Calibri"/>
          <w:sz w:val="24"/>
          <w:szCs w:val="24"/>
        </w:rPr>
        <w:t xml:space="preserve">Desconfianza ante grandes plataformas: Existe una tendencia creciente hacia soluciones de almacenamiento local o nacional, motivada por preocupaciones sobre la privacidad de los datos frente a proveedores estadounidenses o asiaticos.</w:t>
      </w:r>
    </w:p>
    <w:p>
      <w:pPr>
        <w:spacing w:before="60" w:after="60"/>
      </w:pPr>
      <w:r>
        <w:t xml:space="preserve"/>
      </w:r>
    </w:p>
    <w:p>
      <w:pPr>
        <w:spacing w:before="200" w:after="80"/>
      </w:pPr>
      <w:r>
        <w:rPr>
          <w:rFonts w:ascii="Calibri" w:cs="Calibri" w:eastAsia="Calibri" w:hAnsi="Calibri"/>
          <w:b/>
          <w:bCs/>
          <w:sz w:val="24"/>
          <w:szCs w:val="24"/>
          <w:u w:val="single"/>
        </w:rPr>
        <w:t xml:space="preserve">4. Factores Tecnologicos</w:t>
      </w:r>
    </w:p>
    <w:p>
      <w:pPr>
        <w:spacing w:before="60" w:after="60" w:line="360"/>
      </w:pPr>
      <w:r>
        <w:rPr>
          <w:rFonts w:ascii="Calibri" w:cs="Calibri" w:eastAsia="Calibri" w:hAnsi="Calibri"/>
          <w:sz w:val="24"/>
          <w:szCs w:val="24"/>
        </w:rPr>
        <w:t xml:space="preserve">La tecnologia es el eje central de este negocio y el factor que evoluciona con mayor rapidez, exigiendo una actualizacion permanente del servicio.</w:t>
      </w:r>
    </w:p>
    <w:p>
      <w:pPr>
        <w:pStyle w:val="ListParagraph"/>
        <w:numPr>
          <w:ilvl w:val="0"/>
          <w:numId w:val="2"/>
        </w:numPr>
        <w:spacing w:before="40" w:after="40" w:line="360"/>
      </w:pPr>
      <w:r>
        <w:rPr>
          <w:rFonts w:ascii="Calibri" w:cs="Calibri" w:eastAsia="Calibri" w:hAnsi="Calibri"/>
          <w:sz w:val="24"/>
          <w:szCs w:val="24"/>
        </w:rPr>
        <w:t xml:space="preserve">Incremento exponencial de ciberamenazas: El INCIBE registro mas de 80.000 incidentes de ciberseguridad en Espana en 2023, un 24% mas que el ano anterior. El ransomware y el phishing son los vectores dominantes, y afectan cada vez mas a organizaciones de pequeno tamano que carecen de proteccion adecuada.</w:t>
      </w:r>
    </w:p>
    <w:p>
      <w:pPr>
        <w:pStyle w:val="ListParagraph"/>
        <w:numPr>
          <w:ilvl w:val="0"/>
          <w:numId w:val="2"/>
        </w:numPr>
        <w:spacing w:before="40" w:after="40" w:line="360"/>
      </w:pPr>
      <w:r>
        <w:rPr>
          <w:rFonts w:ascii="Calibri" w:cs="Calibri" w:eastAsia="Calibri" w:hAnsi="Calibri"/>
          <w:sz w:val="24"/>
          <w:szCs w:val="24"/>
        </w:rPr>
        <w:t xml:space="preserve">Inteligencia Artificial aplicada a la seguridad: La IA permite mejorar la deteccion automatica de amenazas, pero tambien sofistica los ataques. Incorporar herramientas de analisis de comportamiento es cada vez mas necesario para mantenerse competitivo.</w:t>
      </w:r>
    </w:p>
    <w:p>
      <w:pPr>
        <w:pStyle w:val="ListParagraph"/>
        <w:numPr>
          <w:ilvl w:val="0"/>
          <w:numId w:val="2"/>
        </w:numPr>
        <w:spacing w:before="40" w:after="40" w:line="360"/>
      </w:pPr>
      <w:r>
        <w:rPr>
          <w:rFonts w:ascii="Calibri" w:cs="Calibri" w:eastAsia="Calibri" w:hAnsi="Calibri"/>
          <w:sz w:val="24"/>
          <w:szCs w:val="24"/>
        </w:rPr>
        <w:t xml:space="preserve">Migracion masiva a la nube: La adopcion generalizada de entornos cloud hibridos amplia la superficie de ataque y hace obsoletas las soluciones de seguridad perimetral tradicionales, abriendo hueco para enfoques como la arquitectura Zero Trust que adopta SecureVault.</w:t>
      </w:r>
    </w:p>
    <w:p>
      <w:pPr>
        <w:pStyle w:val="ListParagraph"/>
        <w:numPr>
          <w:ilvl w:val="0"/>
          <w:numId w:val="2"/>
        </w:numPr>
        <w:spacing w:before="40" w:after="40" w:line="360"/>
      </w:pPr>
      <w:r>
        <w:rPr>
          <w:rFonts w:ascii="Calibri" w:cs="Calibri" w:eastAsia="Calibri" w:hAnsi="Calibri"/>
          <w:sz w:val="24"/>
          <w:szCs w:val="24"/>
        </w:rPr>
        <w:t xml:space="preserve">Disponibilidad de tecnologia open source madura: Herramientas como LUKS, WireGuard, pfSense o PostgreSQL permiten construir una solucion robusta con costes de licencia reducidos, favoreciendo la viabilidad del proyecto dentro del presupuesto disponible.</w:t>
      </w:r>
    </w:p>
    <w:p>
      <w:pPr>
        <w:spacing w:before="60" w:after="60"/>
      </w:pPr>
      <w:r>
        <w:t xml:space="preserve"/>
      </w:r>
    </w:p>
    <w:p>
      <w:pPr>
        <w:spacing w:before="200" w:after="80"/>
      </w:pPr>
      <w:r>
        <w:rPr>
          <w:rFonts w:ascii="Calibri" w:cs="Calibri" w:eastAsia="Calibri" w:hAnsi="Calibri"/>
          <w:b/>
          <w:bCs/>
          <w:sz w:val="24"/>
          <w:szCs w:val="24"/>
          <w:u w:val="single"/>
        </w:rPr>
        <w:t xml:space="preserve">5. Factores Ecologicos</w:t>
      </w:r>
    </w:p>
    <w:p>
      <w:pPr>
        <w:spacing w:before="60" w:after="60" w:line="360"/>
      </w:pPr>
      <w:r>
        <w:rPr>
          <w:rFonts w:ascii="Calibri" w:cs="Calibri" w:eastAsia="Calibri" w:hAnsi="Calibri"/>
          <w:sz w:val="24"/>
          <w:szCs w:val="24"/>
        </w:rPr>
        <w:t xml:space="preserve">Aunque la dimension medioambiental es menos determinante en este sector que en otros, su relevancia crece conforme la sostenibilidad se convierte en criterio de evaluacion empresarial y requisito regulatorio.</w:t>
      </w:r>
    </w:p>
    <w:p>
      <w:pPr>
        <w:pStyle w:val="ListParagraph"/>
        <w:numPr>
          <w:ilvl w:val="0"/>
          <w:numId w:val="2"/>
        </w:numPr>
        <w:spacing w:before="40" w:after="40" w:line="360"/>
      </w:pPr>
      <w:r>
        <w:rPr>
          <w:rFonts w:ascii="Calibri" w:cs="Calibri" w:eastAsia="Calibri" w:hAnsi="Calibri"/>
          <w:sz w:val="24"/>
          <w:szCs w:val="24"/>
        </w:rPr>
        <w:t xml:space="preserve">Eficiencia energetica en infraestructuras: Hospedar servicios en servidores locales de bajo consumo reduce significativamente la huella de carbono frente a grandes centros de datos cloud. Este argumento puede resultar relevante ante clientes con compromisos de sostenibilidad.</w:t>
      </w:r>
    </w:p>
    <w:p>
      <w:pPr>
        <w:pStyle w:val="ListParagraph"/>
        <w:numPr>
          <w:ilvl w:val="0"/>
          <w:numId w:val="2"/>
        </w:numPr>
        <w:spacing w:before="40" w:after="40" w:line="360"/>
      </w:pPr>
      <w:r>
        <w:rPr>
          <w:rFonts w:ascii="Calibri" w:cs="Calibri" w:eastAsia="Calibri" w:hAnsi="Calibri"/>
          <w:sz w:val="24"/>
          <w:szCs w:val="24"/>
        </w:rPr>
        <w:t xml:space="preserve">Normativa ESG y gobernanza corporativa: Las grandes empresas estan obligadas a reportar criterios ambientales, sociales y de gobernanza (ESG). La seguridad de la informacion forma parte de la dimension de gobernanza, convirtiendo la proteccion digital en un requisito ESG directo.</w:t>
      </w:r>
    </w:p>
    <w:p>
      <w:pPr>
        <w:pStyle w:val="ListParagraph"/>
        <w:numPr>
          <w:ilvl w:val="0"/>
          <w:numId w:val="2"/>
        </w:numPr>
        <w:spacing w:before="40" w:after="40" w:line="360"/>
      </w:pPr>
      <w:r>
        <w:rPr>
          <w:rFonts w:ascii="Calibri" w:cs="Calibri" w:eastAsia="Calibri" w:hAnsi="Calibri"/>
          <w:sz w:val="24"/>
          <w:szCs w:val="24"/>
        </w:rPr>
        <w:t xml:space="preserve">Residuos electronicos y renovacion de hardware: La gestion responsable de los equipos al final de su vida util (borrado seguro de datos, reciclaje certificado) es un factor de diferenciacion ante clientes con politicas medioambientales exigentes.</w:t>
      </w:r>
    </w:p>
    <w:p>
      <w:pPr>
        <w:spacing w:before="60" w:after="60"/>
      </w:pPr>
      <w:r>
        <w:t xml:space="preserve"/>
      </w:r>
    </w:p>
    <w:p>
      <w:pPr>
        <w:spacing w:before="200" w:after="80"/>
      </w:pPr>
      <w:r>
        <w:rPr>
          <w:rFonts w:ascii="Calibri" w:cs="Calibri" w:eastAsia="Calibri" w:hAnsi="Calibri"/>
          <w:b/>
          <w:bCs/>
          <w:sz w:val="24"/>
          <w:szCs w:val="24"/>
          <w:u w:val="single"/>
        </w:rPr>
        <w:t xml:space="preserve">6. Factores Legales</w:t>
      </w:r>
    </w:p>
    <w:p>
      <w:pPr>
        <w:spacing w:before="60" w:after="60" w:line="360"/>
      </w:pPr>
      <w:r>
        <w:rPr>
          <w:rFonts w:ascii="Calibri" w:cs="Calibri" w:eastAsia="Calibri" w:hAnsi="Calibri"/>
          <w:sz w:val="24"/>
          <w:szCs w:val="24"/>
        </w:rPr>
        <w:t xml:space="preserve">El marco normativo es el factor de mayor impacto directo sobre la demanda del servicio. La regulacion europea y espanola ha convertido la proteccion de datos en una obligacion legal exigible.</w:t>
      </w:r>
    </w:p>
    <w:p>
      <w:pPr>
        <w:pStyle w:val="ListParagraph"/>
        <w:numPr>
          <w:ilvl w:val="0"/>
          <w:numId w:val="2"/>
        </w:numPr>
        <w:spacing w:before="40" w:after="40" w:line="360"/>
      </w:pPr>
      <w:r>
        <w:rPr>
          <w:rFonts w:ascii="Calibri" w:cs="Calibri" w:eastAsia="Calibri" w:hAnsi="Calibri"/>
          <w:sz w:val="24"/>
          <w:szCs w:val="24"/>
        </w:rPr>
        <w:t xml:space="preserve">RGPD (Reglamento General de Proteccion de Datos, 2018): Obliga a todas las organizaciones que traten datos personales a garantizar su confidencialidad e integridad. Las sanciones pueden alcanzar hasta el 4% de la facturacion global anual, lo que convierte la inversion en ciberseguridad en una necesidad legal, no solo tecnica.</w:t>
      </w:r>
    </w:p>
    <w:p>
      <w:pPr>
        <w:pStyle w:val="ListParagraph"/>
        <w:numPr>
          <w:ilvl w:val="0"/>
          <w:numId w:val="2"/>
        </w:numPr>
        <w:spacing w:before="40" w:after="40" w:line="360"/>
      </w:pPr>
      <w:r>
        <w:rPr>
          <w:rFonts w:ascii="Calibri" w:cs="Calibri" w:eastAsia="Calibri" w:hAnsi="Calibri"/>
          <w:sz w:val="24"/>
          <w:szCs w:val="24"/>
        </w:rPr>
        <w:t xml:space="preserve">Directiva NIS2 (2022, en transposicion en Espana): Amplia significativamente el numero de sectores obligados a implantar medidas de ciberseguridad, incluyendo energia, salud, transporte y administracion publica. Supone un incremento directo del mercado potencial.</w:t>
      </w:r>
    </w:p>
    <w:p>
      <w:pPr>
        <w:pStyle w:val="ListParagraph"/>
        <w:numPr>
          <w:ilvl w:val="0"/>
          <w:numId w:val="2"/>
        </w:numPr>
        <w:spacing w:before="40" w:after="40" w:line="360"/>
      </w:pPr>
      <w:r>
        <w:rPr>
          <w:rFonts w:ascii="Calibri" w:cs="Calibri" w:eastAsia="Calibri" w:hAnsi="Calibri"/>
          <w:sz w:val="24"/>
          <w:szCs w:val="24"/>
        </w:rPr>
        <w:t xml:space="preserve">Ley Organica de Proteccion de Datos (LOPDGDD): Complemento nacional del RGPD con requisitos especificos aplicables en territorio espanol, que las empresas deben cumplir independientemente de su tamano.</w:t>
      </w:r>
    </w:p>
    <w:p>
      <w:pPr>
        <w:pStyle w:val="ListParagraph"/>
        <w:numPr>
          <w:ilvl w:val="0"/>
          <w:numId w:val="2"/>
        </w:numPr>
        <w:spacing w:before="40" w:after="40" w:line="360"/>
      </w:pPr>
      <w:r>
        <w:rPr>
          <w:rFonts w:ascii="Calibri" w:cs="Calibri" w:eastAsia="Calibri" w:hAnsi="Calibri"/>
          <w:sz w:val="24"/>
          <w:szCs w:val="24"/>
        </w:rPr>
        <w:t xml:space="preserve">Esquema Nacional de Seguridad (ENS): Certificacion obligatoria para empresas que presten servicios a la Administracion Publica. Actua como barrera de entrada al mercado publico, pero tambien como ventaja competitiva diferencial una vez obtenida.</w:t>
      </w:r>
    </w:p>
    <w:p>
      <w:pPr>
        <w:spacing w:before="60" w:after="60"/>
      </w:pPr>
      <w:r>
        <w:t xml:space="preserve"/>
      </w:r>
    </w:p>
    <w:p>
      <w:pPr>
        <w:spacing w:before="60" w:after="60" w:line="360"/>
      </w:pPr>
      <w:r>
        <w:rPr>
          <w:rFonts w:ascii="Calibri" w:cs="Calibri" w:eastAsia="Calibri" w:hAnsi="Calibri"/>
          <w:i/>
          <w:iCs/>
          <w:sz w:val="24"/>
          <w:szCs w:val="24"/>
        </w:rPr>
        <w:t xml:space="preserve">Impacto sobre el negocio: la regulacion no es solo una restriccion, sino el principal motor de demanda del sector. Las empresas no protegen sus datos solo porque quieren: la ley las obliga, garantizando un mercado estable e independiente del ciclo economico.</w:t>
      </w:r>
    </w:p>
    <w:p>
      <w:pPr>
        <w:spacing w:before="60" w:after="60"/>
      </w:pPr>
      <w:r>
        <w:t xml:space="preserve"/>
      </w:r>
    </w:p>
    <w:p>
      <w:pPr>
        <w:spacing w:before="200" w:after="80"/>
      </w:pPr>
      <w:r>
        <w:rPr>
          <w:rFonts w:ascii="Calibri" w:cs="Calibri" w:eastAsia="Calibri" w:hAnsi="Calibri"/>
          <w:b/>
          <w:bCs/>
          <w:sz w:val="24"/>
          <w:szCs w:val="24"/>
          <w:u w:val="single"/>
        </w:rPr>
        <w:t xml:space="preserve">Resumen: Tabla PESTEL</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4826"/>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Calibri" w:cs="Calibri" w:eastAsia="Calibri" w:hAnsi="Calibri"/>
                <w:b/>
                <w:bCs/>
                <w:color w:val="FFFFFF"/>
                <w:sz w:val="22"/>
                <w:szCs w:val="22"/>
              </w:rPr>
              <w:t xml:space="preserve">Factor</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Calibri" w:cs="Calibri" w:eastAsia="Calibri" w:hAnsi="Calibri"/>
                <w:b/>
                <w:bCs/>
                <w:color w:val="FFFFFF"/>
                <w:sz w:val="22"/>
                <w:szCs w:val="22"/>
              </w:rPr>
              <w:t xml:space="preserve">Impacto</w:t>
            </w:r>
          </w:p>
        </w:tc>
        <w:tc>
          <w:tcPr>
            <w:tcW w:type="dxa" w:w="48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Calibri" w:cs="Calibri" w:eastAsia="Calibri" w:hAnsi="Calibri"/>
                <w:b/>
                <w:bCs/>
                <w:color w:val="FFFFFF"/>
                <w:sz w:val="22"/>
                <w:szCs w:val="22"/>
              </w:rPr>
              <w:t xml:space="preserve">Implicacion para el negocio</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sz w:val="22"/>
                <w:szCs w:val="22"/>
              </w:rPr>
              <w:t xml:space="preserve">Politico</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sz w:val="22"/>
                <w:szCs w:val="22"/>
              </w:rPr>
              <w:t xml:space="preserve">Alto</w:t>
            </w:r>
          </w:p>
        </w:tc>
        <w:tc>
          <w:tcPr>
            <w:tcW w:type="dxa" w:w="4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sz w:val="22"/>
                <w:szCs w:val="22"/>
              </w:rPr>
              <w:t xml:space="preserve">Agenda Digital Europea y Plan PYME generan apoyo institucional y financiacion publica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Economico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Alto</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Mercado en expansion &gt;10% anual; fondos Next Generation EU disponibles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sz w:val="22"/>
                <w:szCs w:val="22"/>
              </w:rPr>
              <w:t xml:space="preserve">Social</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sz w:val="22"/>
                <w:szCs w:val="22"/>
              </w:rPr>
              <w:t xml:space="preserve">Alto</w:t>
            </w:r>
          </w:p>
        </w:tc>
        <w:tc>
          <w:tcPr>
            <w:tcW w:type="dxa" w:w="4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sz w:val="22"/>
                <w:szCs w:val="22"/>
              </w:rPr>
              <w:t xml:space="preserve">Digitalizacion acelerada y escasez de talento refuerzan la demanda externalizada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Tecnologico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Muy alto</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Aumento de ciberataques e IA; tecnologia open source permite solucion viable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sz w:val="22"/>
                <w:szCs w:val="22"/>
              </w:rPr>
              <w:t xml:space="preserve">Ecologico</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sz w:val="22"/>
                <w:szCs w:val="22"/>
              </w:rPr>
              <w:t xml:space="preserve">Medio</w:t>
            </w:r>
          </w:p>
        </w:tc>
        <w:tc>
          <w:tcPr>
            <w:tcW w:type="dxa" w:w="4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sz w:val="22"/>
                <w:szCs w:val="22"/>
              </w:rPr>
              <w:t xml:space="preserve">Infraestructura local eficiente; requisito ESG de gobernanza de datos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Legal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Muy alto</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RGPD, NIS2 y LOPDGDD generan demanda legal obligada de proteccion de datos</w:t>
            </w:r>
          </w:p>
        </w:tc>
      </w:tr>
    </w:tbl>
    <w:p>
      <w:pPr>
        <w:spacing w:before="60" w:after="60"/>
      </w:pPr>
      <w:r>
        <w:t xml:space="preserve"/>
      </w:r>
    </w:p>
    <w:p>
      <w:pPr>
        <w:spacing w:before="60" w:after="60" w:line="360"/>
      </w:pPr>
      <w:r>
        <w:rPr>
          <w:rFonts w:ascii="Calibri" w:cs="Calibri" w:eastAsia="Calibri" w:hAnsi="Calibri"/>
          <w:i/>
          <w:iCs/>
          <w:sz w:val="24"/>
          <w:szCs w:val="24"/>
        </w:rPr>
        <w:t xml:space="preserve">En conjunto, el macroentorno presenta condiciones favorables para el lanzamiento de un servicio de proteccion digital orientado a PYMEs en la Comunidad de Madrid. La presion regulatoria actua como garante de demanda, el mercado crece de forma sostenida, y la tendencia hacia la soberania de datos abre espacio para soluciones self-hosted como alternativa a los grandes proveedores cloud.</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2026-03-15T15:59:31.768Z</dcterms:created>
  <dcterms:modified xsi:type="dcterms:W3CDTF">2026-03-15T15:59:31.769Z</dcterms:modified>
</cp:coreProperties>
</file>

<file path=docProps/custom.xml><?xml version="1.0" encoding="utf-8"?>
<Properties xmlns="http://schemas.openxmlformats.org/officeDocument/2006/custom-properties" xmlns:vt="http://schemas.openxmlformats.org/officeDocument/2006/docPropsVTypes"/>
</file>