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200"/>
        <w:jc w:val="center"/>
        <w:rPr>
          <w:lang w:val="zxx" w:eastAsia="zxx" w:bidi="zxx"/>
        </w:rPr>
      </w:pPr>
      <w:r>
        <w:rPr>
          <w:rFonts w:eastAsia="Calibri" w:cs="Calibri"/>
          <w:b/>
          <w:bCs/>
          <w:color w:val="1A5276"/>
          <w:sz w:val="72"/>
          <w:szCs w:val="72"/>
          <w:lang w:val="zxx" w:eastAsia="zxx" w:bidi="zxx"/>
        </w:rPr>
        <w:t>SecureVault</w:t>
      </w:r>
    </w:p>
    <w:p>
      <w:pPr>
        <w:pStyle w:val="Normal"/>
        <w:spacing w:before="100" w:after="600"/>
        <w:jc w:val="center"/>
        <w:rPr>
          <w:lang w:val="zxx" w:eastAsia="zxx" w:bidi="zxx"/>
        </w:rPr>
      </w:pPr>
      <w:r>
        <w:rPr>
          <w:rFonts w:eastAsia="Calibri" w:cs="Calibri"/>
          <w:i/>
          <w:iCs/>
          <w:color w:val="555555"/>
          <w:sz w:val="28"/>
          <w:szCs w:val="28"/>
          <w:lang w:val="zxx" w:eastAsia="zxx" w:bidi="zxx"/>
        </w:rPr>
        <w:t>Documento de Bases Técnicas del Producto</w:t>
      </w:r>
    </w:p>
    <w:p>
      <w:pPr>
        <w:pStyle w:val="Normal"/>
        <w:pBdr>
          <w:bottom w:val="single" w:sz="4" w:space="1" w:color="1A5276"/>
        </w:pBdr>
        <w:spacing w:before="0" w:after="800"/>
        <w:jc w:val="center"/>
        <w:rPr>
          <w:lang w:val="zxx" w:eastAsia="zxx" w:bidi="zxx"/>
        </w:rPr>
      </w:pPr>
      <w:r>
        <w:rPr>
          <w:lang w:val="zxx" w:eastAsia="zxx" w:bidi="zxx"/>
        </w:rPr>
      </w:r>
    </w:p>
    <w:p>
      <w:pPr>
        <w:pStyle w:val="Normal"/>
        <w:spacing w:before="800" w:after="200"/>
        <w:jc w:val="center"/>
        <w:rPr>
          <w:lang w:val="zxx" w:eastAsia="zxx" w:bidi="zxx"/>
        </w:rPr>
      </w:pPr>
      <w:r>
        <w:rPr>
          <w:rFonts w:eastAsia="Calibri" w:cs="Calibri"/>
          <w:b/>
          <w:bCs/>
          <w:color w:val="1A5276"/>
          <w:sz w:val="32"/>
          <w:szCs w:val="32"/>
          <w:lang w:val="zxx" w:eastAsia="zxx" w:bidi="zxx"/>
        </w:rPr>
        <w:t>PARTE I</w:t>
      </w:r>
    </w:p>
    <w:p>
      <w:pPr>
        <w:pStyle w:val="Normal"/>
        <w:spacing w:before="0" w:after="1200"/>
        <w:jc w:val="center"/>
        <w:rPr>
          <w:lang w:val="zxx" w:eastAsia="zxx" w:bidi="zxx"/>
        </w:rPr>
      </w:pPr>
      <w:r>
        <w:rPr>
          <w:rFonts w:eastAsia="Calibri" w:cs="Calibri"/>
          <w:color w:val="555555"/>
          <w:sz w:val="28"/>
          <w:szCs w:val="28"/>
          <w:lang w:val="zxx" w:eastAsia="zxx" w:bidi="zxx"/>
        </w:rPr>
        <w:t>Resumen del Negocio</w:t>
      </w:r>
      <w:r>
        <w:br w:type="page"/>
      </w:r>
    </w:p>
    <w:p>
      <w:pPr>
        <w:pStyle w:val="Normal"/>
        <w:spacing w:before="0" w:after="400"/>
        <w:jc w:val="center"/>
        <w:rPr>
          <w:lang w:val="zxx" w:eastAsia="zxx" w:bidi="zxx"/>
        </w:rPr>
      </w:pPr>
      <w:r>
        <w:rPr>
          <w:rFonts w:eastAsia="Calibri" w:cs="Calibri"/>
          <w:b/>
          <w:bCs/>
          <w:color w:val="1A5276"/>
          <w:sz w:val="36"/>
          <w:szCs w:val="36"/>
          <w:lang w:val="zxx" w:eastAsia="zxx" w:bidi="zxx"/>
        </w:rPr>
        <w:t>PARTE I — RESUMEN DEL NEGOCIO</w:t>
      </w:r>
    </w:p>
    <w:p>
      <w:pPr>
        <w:pStyle w:val="Heading1"/>
        <w:pBdr>
          <w:bottom w:val="single" w:sz="6" w:space="1" w:color="1A5276"/>
        </w:pBdr>
        <w:spacing w:before="400" w:after="200"/>
        <w:rPr>
          <w:lang w:val="zxx" w:eastAsia="zxx" w:bidi="zxx"/>
        </w:rPr>
      </w:pPr>
      <w:r>
        <w:rPr>
          <w:rFonts w:eastAsia="Calibri" w:cs="Calibri" w:ascii="Calibri" w:hAnsi="Calibri"/>
          <w:b/>
          <w:bCs/>
          <w:color w:val="1A5276"/>
          <w:sz w:val="32"/>
          <w:szCs w:val="32"/>
          <w:lang w:val="zxx" w:eastAsia="zxx" w:bidi="zxx"/>
        </w:rPr>
        <w:t>1. Qué es SecureVault</w:t>
      </w:r>
    </w:p>
    <w:p>
      <w:pPr>
        <w:pStyle w:val="Normal"/>
        <w:spacing w:before="80" w:after="80"/>
        <w:rPr>
          <w:lang w:val="zxx" w:eastAsia="zxx" w:bidi="zxx"/>
        </w:rPr>
      </w:pPr>
      <w:r>
        <w:rPr>
          <w:rFonts w:eastAsia="Calibri" w:cs="Calibri"/>
          <w:sz w:val="22"/>
          <w:szCs w:val="22"/>
          <w:lang w:val="zxx" w:eastAsia="zxx" w:bidi="zxx"/>
        </w:rPr>
        <w:t>SecureVault es una solución integral de almacenamiento seguro de archivos orientada a PYMEs y autónomos. A diferencia de los servicios cloud convencionales (Google Drive, Dropbox, OneDrive), los datos del cliente nunca abandonan sus instalaciones: se alojan en un servidor físico ubicado en la propia empresa, administrado y configurado por SecureVault.</w:t>
      </w:r>
    </w:p>
    <w:p>
      <w:pPr>
        <w:pStyle w:val="Normal"/>
        <w:rPr>
          <w:lang w:val="zxx" w:eastAsia="zxx" w:bidi="zxx"/>
        </w:rPr>
      </w:pPr>
      <w:r>
        <w:rPr>
          <w:lang w:val="zxx" w:eastAsia="zxx" w:bidi="zxx"/>
        </w:rPr>
      </w:r>
    </w:p>
    <w:p>
      <w:pPr>
        <w:pStyle w:val="Normal"/>
        <w:spacing w:before="80" w:after="80"/>
        <w:rPr>
          <w:lang w:val="zxx" w:eastAsia="zxx" w:bidi="zxx"/>
        </w:rPr>
      </w:pPr>
      <w:r>
        <w:rPr>
          <w:rFonts w:eastAsia="Calibri" w:cs="Calibri"/>
          <w:sz w:val="22"/>
          <w:szCs w:val="22"/>
          <w:lang w:val="zxx" w:eastAsia="zxx" w:bidi="zxx"/>
        </w:rPr>
        <w:t>El servicio se compone de tres elementos que se ofrecen de forma conjunta:</w:t>
      </w:r>
    </w:p>
    <w:p>
      <w:pPr>
        <w:pStyle w:val="Normal"/>
        <w:rPr>
          <w:lang w:val="zxx" w:eastAsia="zxx" w:bidi="zxx"/>
        </w:rPr>
      </w:pPr>
      <w:r>
        <w:rPr>
          <w:lang w:val="zxx" w:eastAsia="zxx" w:bidi="zxx"/>
        </w:rPr>
      </w:r>
    </w:p>
    <w:tbl>
      <w:tblPr>
        <w:tblW w:w="9000" w:type="dxa"/>
        <w:jc w:val="left"/>
        <w:tblInd w:w="0" w:type="dxa"/>
        <w:tblLayout w:type="fixed"/>
        <w:tblCellMar>
          <w:top w:w="80" w:type="dxa"/>
          <w:left w:w="120" w:type="dxa"/>
          <w:bottom w:w="80" w:type="dxa"/>
          <w:right w:w="120" w:type="dxa"/>
        </w:tblCellMar>
      </w:tblPr>
      <w:tblGrid>
        <w:gridCol w:w="3000"/>
        <w:gridCol w:w="3499"/>
        <w:gridCol w:w="2501"/>
      </w:tblGrid>
      <w:tr>
        <w:trPr/>
        <w:tc>
          <w:tcPr>
            <w:tcW w:w="3000" w:type="dxa"/>
            <w:tcBorders>
              <w:top w:val="single" w:sz="2" w:space="0" w:color="1A5276"/>
              <w:left w:val="single" w:sz="2" w:space="0" w:color="1A5276"/>
              <w:bottom w:val="single" w:sz="2" w:space="0" w:color="1A5276"/>
              <w:right w:val="single" w:sz="2" w:space="0" w:color="1A5276"/>
            </w:tcBorders>
            <w:shd w:fill="1A5276" w:val="clear"/>
          </w:tcPr>
          <w:p>
            <w:pPr>
              <w:pStyle w:val="Normal"/>
              <w:rPr>
                <w:lang w:val="zxx" w:eastAsia="zxx" w:bidi="zxx"/>
              </w:rPr>
            </w:pPr>
            <w:r>
              <w:rPr>
                <w:rFonts w:eastAsia="Calibri" w:cs="Calibri"/>
                <w:b/>
                <w:bCs/>
                <w:color w:val="FFFFFF"/>
                <w:sz w:val="22"/>
                <w:szCs w:val="22"/>
                <w:lang w:val="zxx" w:eastAsia="zxx" w:bidi="zxx"/>
              </w:rPr>
              <w:t>Elemento</w:t>
            </w:r>
          </w:p>
        </w:tc>
        <w:tc>
          <w:tcPr>
            <w:tcW w:w="3499" w:type="dxa"/>
            <w:tcBorders>
              <w:top w:val="single" w:sz="2" w:space="0" w:color="1A5276"/>
              <w:left w:val="single" w:sz="2" w:space="0" w:color="1A5276"/>
              <w:bottom w:val="single" w:sz="2" w:space="0" w:color="1A5276"/>
              <w:right w:val="single" w:sz="2" w:space="0" w:color="1A5276"/>
            </w:tcBorders>
            <w:shd w:fill="1A5276" w:val="clear"/>
          </w:tcPr>
          <w:p>
            <w:pPr>
              <w:pStyle w:val="Normal"/>
              <w:rPr>
                <w:lang w:val="zxx" w:eastAsia="zxx" w:bidi="zxx"/>
              </w:rPr>
            </w:pPr>
            <w:r>
              <w:rPr>
                <w:rFonts w:eastAsia="Calibri" w:cs="Calibri"/>
                <w:b/>
                <w:bCs/>
                <w:color w:val="FFFFFF"/>
                <w:sz w:val="22"/>
                <w:szCs w:val="22"/>
                <w:lang w:val="zxx" w:eastAsia="zxx" w:bidi="zxx"/>
              </w:rPr>
              <w:t>Descripción</w:t>
            </w:r>
          </w:p>
        </w:tc>
        <w:tc>
          <w:tcPr>
            <w:tcW w:w="2501" w:type="dxa"/>
            <w:tcBorders>
              <w:top w:val="single" w:sz="2" w:space="0" w:color="1A5276"/>
              <w:left w:val="single" w:sz="2" w:space="0" w:color="1A5276"/>
              <w:bottom w:val="single" w:sz="2" w:space="0" w:color="1A5276"/>
              <w:right w:val="single" w:sz="2" w:space="0" w:color="1A5276"/>
            </w:tcBorders>
            <w:shd w:fill="1A5276" w:val="clear"/>
          </w:tcPr>
          <w:p>
            <w:pPr>
              <w:pStyle w:val="Normal"/>
              <w:rPr>
                <w:lang w:val="zxx" w:eastAsia="zxx" w:bidi="zxx"/>
              </w:rPr>
            </w:pPr>
            <w:r>
              <w:rPr>
                <w:rFonts w:eastAsia="Calibri" w:cs="Calibri"/>
                <w:b/>
                <w:bCs/>
                <w:color w:val="FFFFFF"/>
                <w:sz w:val="22"/>
                <w:szCs w:val="22"/>
                <w:lang w:val="zxx" w:eastAsia="zxx" w:bidi="zxx"/>
              </w:rPr>
              <w:t>Tipo de ingreso</w:t>
            </w:r>
          </w:p>
        </w:tc>
      </w:tr>
      <w:tr>
        <w:trPr/>
        <w:tc>
          <w:tcPr>
            <w:tcW w:w="3000" w:type="dxa"/>
            <w:tcBorders>
              <w:top w:val="single" w:sz="2" w:space="0" w:color="CCCCCC"/>
              <w:left w:val="single" w:sz="2" w:space="0" w:color="CCCCCC"/>
              <w:bottom w:val="single" w:sz="2" w:space="0" w:color="CCCCCC"/>
              <w:right w:val="single" w:sz="2" w:space="0" w:color="CCCCCC"/>
            </w:tcBorders>
            <w:shd w:fill="F4F6F7" w:val="clear"/>
          </w:tcPr>
          <w:p>
            <w:pPr>
              <w:pStyle w:val="Normal"/>
              <w:rPr>
                <w:lang w:val="zxx" w:eastAsia="zxx" w:bidi="zxx"/>
              </w:rPr>
            </w:pPr>
            <w:r>
              <w:rPr>
                <w:rFonts w:eastAsia="Calibri" w:cs="Calibri"/>
                <w:sz w:val="20"/>
                <w:szCs w:val="20"/>
                <w:lang w:val="zxx" w:eastAsia="zxx" w:bidi="zxx"/>
              </w:rPr>
              <w:t>Servidor físico</w:t>
            </w:r>
          </w:p>
        </w:tc>
        <w:tc>
          <w:tcPr>
            <w:tcW w:w="3499" w:type="dxa"/>
            <w:tcBorders>
              <w:top w:val="single" w:sz="2" w:space="0" w:color="CCCCCC"/>
              <w:left w:val="single" w:sz="2" w:space="0" w:color="CCCCCC"/>
              <w:bottom w:val="single" w:sz="2" w:space="0" w:color="CCCCCC"/>
              <w:right w:val="single" w:sz="2" w:space="0" w:color="CCCCCC"/>
            </w:tcBorders>
            <w:shd w:fill="F4F6F7" w:val="clear"/>
          </w:tcPr>
          <w:p>
            <w:pPr>
              <w:pStyle w:val="Normal"/>
              <w:rPr>
                <w:lang w:val="zxx" w:eastAsia="zxx" w:bidi="zxx"/>
              </w:rPr>
            </w:pPr>
            <w:r>
              <w:rPr>
                <w:rFonts w:eastAsia="Calibri" w:cs="Calibri"/>
                <w:sz w:val="20"/>
                <w:szCs w:val="20"/>
                <w:lang w:val="zxx" w:eastAsia="zxx" w:bidi="zxx"/>
              </w:rPr>
              <w:t>Equipo dedicado suministrado e instalado por SecureVault en las instalaciones del cliente</w:t>
            </w:r>
          </w:p>
        </w:tc>
        <w:tc>
          <w:tcPr>
            <w:tcW w:w="2501" w:type="dxa"/>
            <w:tcBorders>
              <w:top w:val="single" w:sz="2" w:space="0" w:color="CCCCCC"/>
              <w:left w:val="single" w:sz="2" w:space="0" w:color="CCCCCC"/>
              <w:bottom w:val="single" w:sz="2" w:space="0" w:color="CCCCCC"/>
              <w:right w:val="single" w:sz="2" w:space="0" w:color="CCCCCC"/>
            </w:tcBorders>
            <w:shd w:fill="F4F6F7" w:val="clear"/>
          </w:tcPr>
          <w:p>
            <w:pPr>
              <w:pStyle w:val="Normal"/>
              <w:rPr>
                <w:lang w:val="zxx" w:eastAsia="zxx" w:bidi="zxx"/>
              </w:rPr>
            </w:pPr>
            <w:r>
              <w:rPr>
                <w:rFonts w:eastAsia="Calibri" w:cs="Calibri"/>
                <w:sz w:val="20"/>
                <w:szCs w:val="20"/>
                <w:lang w:val="zxx" w:eastAsia="zxx" w:bidi="zxx"/>
              </w:rPr>
              <w:t>Venta única</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lang w:val="zxx" w:eastAsia="zxx" w:bidi="zxx"/>
              </w:rPr>
            </w:pPr>
            <w:r>
              <w:rPr>
                <w:rFonts w:eastAsia="Calibri" w:cs="Calibri"/>
                <w:sz w:val="20"/>
                <w:szCs w:val="20"/>
                <w:lang w:val="zxx" w:eastAsia="zxx" w:bidi="zxx"/>
              </w:rPr>
              <w:t>Instalación y configuración</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lang w:val="zxx" w:eastAsia="zxx" w:bidi="zxx"/>
              </w:rPr>
            </w:pPr>
            <w:r>
              <w:rPr>
                <w:rFonts w:eastAsia="Calibri" w:cs="Calibri"/>
                <w:sz w:val="20"/>
                <w:szCs w:val="20"/>
                <w:lang w:val="zxx" w:eastAsia="zxx" w:bidi="zxx"/>
              </w:rPr>
              <w:t>Puesta en marcha del sistema completo: redes virtuales, cifrado, usuarios y accesos</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lang w:val="zxx" w:eastAsia="zxx" w:bidi="zxx"/>
              </w:rPr>
            </w:pPr>
            <w:r>
              <w:rPr>
                <w:rFonts w:eastAsia="Calibri" w:cs="Calibri"/>
                <w:sz w:val="20"/>
                <w:szCs w:val="20"/>
                <w:lang w:val="zxx" w:eastAsia="zxx" w:bidi="zxx"/>
              </w:rPr>
              <w:t xml:space="preserve">Servicio único </w:t>
            </w:r>
          </w:p>
        </w:tc>
      </w:tr>
      <w:tr>
        <w:trPr/>
        <w:tc>
          <w:tcPr>
            <w:tcW w:w="3000" w:type="dxa"/>
            <w:tcBorders>
              <w:top w:val="single" w:sz="2" w:space="0" w:color="CCCCCC"/>
              <w:left w:val="single" w:sz="2" w:space="0" w:color="CCCCCC"/>
              <w:bottom w:val="single" w:sz="2" w:space="0" w:color="CCCCCC"/>
              <w:right w:val="single" w:sz="2" w:space="0" w:color="CCCCCC"/>
            </w:tcBorders>
            <w:shd w:fill="F4F6F7" w:val="clear"/>
          </w:tcPr>
          <w:p>
            <w:pPr>
              <w:pStyle w:val="Normal"/>
              <w:rPr>
                <w:lang w:val="zxx" w:eastAsia="zxx" w:bidi="zxx"/>
              </w:rPr>
            </w:pPr>
            <w:r>
              <w:rPr>
                <w:rFonts w:eastAsia="Calibri" w:cs="Calibri"/>
                <w:sz w:val="20"/>
                <w:szCs w:val="20"/>
                <w:lang w:val="zxx" w:eastAsia="zxx" w:bidi="zxx"/>
              </w:rPr>
              <w:t>Licencia + mantenimiento anual</w:t>
            </w:r>
          </w:p>
        </w:tc>
        <w:tc>
          <w:tcPr>
            <w:tcW w:w="3499" w:type="dxa"/>
            <w:tcBorders>
              <w:top w:val="single" w:sz="2" w:space="0" w:color="CCCCCC"/>
              <w:left w:val="single" w:sz="2" w:space="0" w:color="CCCCCC"/>
              <w:bottom w:val="single" w:sz="2" w:space="0" w:color="CCCCCC"/>
              <w:right w:val="single" w:sz="2" w:space="0" w:color="CCCCCC"/>
            </w:tcBorders>
            <w:shd w:fill="F4F6F7" w:val="clear"/>
          </w:tcPr>
          <w:p>
            <w:pPr>
              <w:pStyle w:val="Normal"/>
              <w:rPr>
                <w:lang w:val="zxx" w:eastAsia="zxx" w:bidi="zxx"/>
              </w:rPr>
            </w:pPr>
            <w:r>
              <w:rPr>
                <w:rFonts w:eastAsia="Calibri" w:cs="Calibri"/>
                <w:sz w:val="20"/>
                <w:szCs w:val="20"/>
                <w:lang w:val="zxx" w:eastAsia="zxx" w:bidi="zxx"/>
              </w:rPr>
              <w:t>Acceso al software, actualizaciones de seguridad y soporte técnico continuo</w:t>
            </w:r>
          </w:p>
        </w:tc>
        <w:tc>
          <w:tcPr>
            <w:tcW w:w="2501" w:type="dxa"/>
            <w:tcBorders>
              <w:top w:val="single" w:sz="2" w:space="0" w:color="CCCCCC"/>
              <w:left w:val="single" w:sz="2" w:space="0" w:color="CCCCCC"/>
              <w:bottom w:val="single" w:sz="2" w:space="0" w:color="CCCCCC"/>
              <w:right w:val="single" w:sz="2" w:space="0" w:color="CCCCCC"/>
            </w:tcBorders>
            <w:shd w:fill="F4F6F7" w:val="clear"/>
          </w:tcPr>
          <w:p>
            <w:pPr>
              <w:pStyle w:val="Normal"/>
              <w:rPr>
                <w:lang w:val="zxx" w:eastAsia="zxx" w:bidi="zxx"/>
              </w:rPr>
            </w:pPr>
            <w:r>
              <w:rPr>
                <w:rFonts w:eastAsia="Calibri" w:cs="Calibri"/>
                <w:sz w:val="20"/>
                <w:szCs w:val="20"/>
                <w:lang w:val="zxx" w:eastAsia="zxx" w:bidi="zxx"/>
              </w:rPr>
              <w:t>Suscripción recurrente</w:t>
            </w:r>
          </w:p>
          <w:p>
            <w:pPr>
              <w:pStyle w:val="Normal"/>
              <w:rPr>
                <w:rFonts w:ascii="Calibri" w:hAnsi="Calibri" w:eastAsia="Calibri" w:cs="Calibri"/>
                <w:sz w:val="20"/>
                <w:szCs w:val="20"/>
              </w:rPr>
            </w:pPr>
            <w:r>
              <w:rPr>
                <w:lang w:val="zxx" w:eastAsia="zxx" w:bidi="zxx"/>
              </w:rPr>
            </w:r>
          </w:p>
          <w:p>
            <w:pPr>
              <w:pStyle w:val="Normal"/>
              <w:rPr>
                <w:i/>
                <w:i/>
                <w:iCs/>
                <w:sz w:val="16"/>
                <w:szCs w:val="16"/>
                <w:lang w:val="zxx" w:eastAsia="zxx" w:bidi="zxx"/>
              </w:rPr>
            </w:pPr>
            <w:r>
              <w:rPr>
                <w:rFonts w:eastAsia="Calibri" w:cs="Calibri"/>
                <w:i/>
                <w:iCs/>
                <w:sz w:val="16"/>
                <w:szCs w:val="16"/>
                <w:lang w:val="zxx" w:eastAsia="zxx" w:bidi="zxx"/>
              </w:rPr>
              <w:t>*precios ya veremos</w:t>
            </w:r>
          </w:p>
        </w:tc>
      </w:tr>
    </w:tbl>
    <w:p>
      <w:pPr>
        <w:pStyle w:val="Normal"/>
        <w:rPr>
          <w:lang w:val="zxx" w:eastAsia="zxx" w:bidi="zxx"/>
        </w:rPr>
      </w:pPr>
      <w:r>
        <w:rPr>
          <w:lang w:val="zxx" w:eastAsia="zxx" w:bidi="zxx"/>
        </w:rPr>
      </w:r>
    </w:p>
    <w:p>
      <w:pPr>
        <w:pStyle w:val="Heading2"/>
        <w:spacing w:before="300" w:after="150"/>
        <w:rPr>
          <w:lang w:val="zxx" w:eastAsia="zxx" w:bidi="zxx"/>
        </w:rPr>
      </w:pPr>
      <w:r>
        <w:rPr>
          <w:rFonts w:eastAsia="Calibri" w:cs="Calibri" w:ascii="Calibri" w:hAnsi="Calibri"/>
          <w:b/>
          <w:bCs/>
          <w:color w:val="1F618D"/>
          <w:sz w:val="26"/>
          <w:szCs w:val="26"/>
          <w:lang w:val="zxx" w:eastAsia="zxx" w:bidi="zxx"/>
        </w:rPr>
        <w:t>1.1. Qué problema resuelve</w:t>
      </w:r>
    </w:p>
    <w:p>
      <w:pPr>
        <w:pStyle w:val="ListParagraph"/>
        <w:numPr>
          <w:ilvl w:val="0"/>
          <w:numId w:val="3"/>
        </w:numPr>
        <w:spacing w:before="60" w:after="60"/>
        <w:rPr>
          <w:lang w:val="zxx" w:eastAsia="zxx" w:bidi="zxx"/>
        </w:rPr>
      </w:pPr>
      <w:r>
        <w:rPr>
          <w:rFonts w:eastAsia="Calibri" w:cs="Calibri"/>
          <w:sz w:val="22"/>
          <w:szCs w:val="22"/>
          <w:lang w:val="zxx" w:eastAsia="zxx" w:bidi="zxx"/>
        </w:rPr>
        <w:t>Las PYMEs manejan datos sensibles (contratos, nóminas, datos de clientes) pero no disponen de equipo técnico para protegerlos correctamente.</w:t>
      </w:r>
    </w:p>
    <w:p>
      <w:pPr>
        <w:pStyle w:val="ListParagraph"/>
        <w:numPr>
          <w:ilvl w:val="0"/>
          <w:numId w:val="1"/>
        </w:numPr>
        <w:spacing w:before="60" w:after="60"/>
        <w:rPr>
          <w:lang w:val="zxx" w:eastAsia="zxx" w:bidi="zxx"/>
        </w:rPr>
      </w:pPr>
      <w:r>
        <w:rPr>
          <w:rFonts w:eastAsia="Calibri" w:cs="Calibri"/>
          <w:sz w:val="22"/>
          <w:szCs w:val="22"/>
          <w:lang w:val="zxx" w:eastAsia="zxx" w:bidi="zxx"/>
        </w:rPr>
        <w:t>Las soluciones cloud de grandes proveedores generan desconfianza y dependencia tecnológica: los datos están en servidores de terceros.</w:t>
      </w:r>
    </w:p>
    <w:p>
      <w:pPr>
        <w:pStyle w:val="ListParagraph"/>
        <w:numPr>
          <w:ilvl w:val="0"/>
          <w:numId w:val="1"/>
        </w:numPr>
        <w:spacing w:before="60" w:after="60"/>
        <w:rPr>
          <w:lang w:val="zxx" w:eastAsia="zxx" w:bidi="zxx"/>
        </w:rPr>
      </w:pPr>
      <w:r>
        <w:rPr>
          <w:rFonts w:eastAsia="Calibri" w:cs="Calibri"/>
          <w:sz w:val="22"/>
          <w:szCs w:val="22"/>
          <w:lang w:val="zxx" w:eastAsia="zxx" w:bidi="zxx"/>
        </w:rPr>
        <w:t>El RGPD obliga a proteger los datos, pero muchas empresas pequeñas no saben cómo cumplirlo técnicamente ni quieren externalizar esa responsabilidad.</w:t>
      </w:r>
    </w:p>
    <w:p>
      <w:pPr>
        <w:pStyle w:val="ListParagraph"/>
        <w:numPr>
          <w:ilvl w:val="0"/>
          <w:numId w:val="1"/>
        </w:numPr>
        <w:spacing w:before="60" w:after="60"/>
        <w:rPr>
          <w:lang w:val="zxx" w:eastAsia="zxx" w:bidi="zxx"/>
        </w:rPr>
      </w:pPr>
      <w:r>
        <w:rPr>
          <w:rFonts w:eastAsia="Calibri" w:cs="Calibri"/>
          <w:sz w:val="22"/>
          <w:szCs w:val="22"/>
          <w:lang w:val="zxx" w:eastAsia="zxx" w:bidi="zxx"/>
        </w:rPr>
        <w:t>Un ataque externo o un empleado con malas intenciones puede acceder fácilmente a los datos si no están cifrados en reposo.</w:t>
      </w:r>
    </w:p>
    <w:p>
      <w:pPr>
        <w:pStyle w:val="Normal"/>
        <w:rPr>
          <w:lang w:val="zxx" w:eastAsia="zxx" w:bidi="zxx"/>
        </w:rPr>
      </w:pPr>
      <w:r>
        <w:rPr>
          <w:lang w:val="zxx" w:eastAsia="zxx" w:bidi="zxx"/>
        </w:rPr>
      </w:r>
    </w:p>
    <w:p>
      <w:pPr>
        <w:pStyle w:val="Heading2"/>
        <w:spacing w:before="300" w:after="150"/>
        <w:rPr>
          <w:lang w:val="zxx" w:eastAsia="zxx" w:bidi="zxx"/>
        </w:rPr>
      </w:pPr>
      <w:r>
        <w:rPr>
          <w:rFonts w:eastAsia="Calibri" w:cs="Calibri" w:ascii="Calibri" w:hAnsi="Calibri"/>
          <w:b/>
          <w:bCs/>
          <w:color w:val="1F618D"/>
          <w:sz w:val="26"/>
          <w:szCs w:val="26"/>
          <w:lang w:val="zxx" w:eastAsia="zxx" w:bidi="zxx"/>
        </w:rPr>
        <w:t>1.2. Propuesta de valor</w:t>
      </w:r>
    </w:p>
    <w:p>
      <w:pPr>
        <w:pStyle w:val="Normal"/>
        <w:spacing w:before="80" w:after="80"/>
        <w:rPr>
          <w:lang w:val="zxx" w:eastAsia="zxx" w:bidi="zxx"/>
        </w:rPr>
      </w:pPr>
      <w:r>
        <w:rPr>
          <w:rFonts w:eastAsia="Calibri" w:cs="Calibri"/>
          <w:sz w:val="22"/>
          <w:szCs w:val="22"/>
          <w:lang w:val="zxx" w:eastAsia="zxx" w:bidi="zxx"/>
        </w:rPr>
        <w:t>SecureVault garantiza que ni el propio proveedor puede leer los datos del cliente. El cifrado se realiza por usuario con clave única, de modo que incluso el administrador del sistema no tiene acceso a los archivos sin la contraseña del propietario. Todo esto combinado con una instalación llave en mano que no requiere conocimientos técnicos por parte del cliente.</w:t>
      </w:r>
    </w:p>
    <w:p>
      <w:pPr>
        <w:pStyle w:val="Normal"/>
        <w:rPr>
          <w:lang w:val="zxx" w:eastAsia="zxx" w:bidi="zxx"/>
        </w:rPr>
      </w:pPr>
      <w:r>
        <w:rPr>
          <w:lang w:val="zxx" w:eastAsia="zxx" w:bidi="zxx"/>
        </w:rPr>
      </w:r>
    </w:p>
    <w:p>
      <w:pPr>
        <w:pStyle w:val="Heading2"/>
        <w:spacing w:before="300" w:after="150"/>
        <w:rPr>
          <w:lang w:val="zxx" w:eastAsia="zxx" w:bidi="zxx"/>
        </w:rPr>
      </w:pPr>
      <w:r>
        <w:rPr>
          <w:rFonts w:eastAsia="Calibri" w:cs="Calibri" w:ascii="Calibri" w:hAnsi="Calibri"/>
          <w:b/>
          <w:bCs/>
          <w:color w:val="1F618D"/>
          <w:sz w:val="26"/>
          <w:szCs w:val="26"/>
          <w:lang w:val="zxx" w:eastAsia="zxx" w:bidi="zxx"/>
        </w:rPr>
        <w:t>1.3. Modelo de negocio</w:t>
      </w:r>
    </w:p>
    <w:p>
      <w:pPr>
        <w:pStyle w:val="Normal"/>
        <w:spacing w:before="80" w:after="80"/>
        <w:rPr>
          <w:lang w:val="zxx" w:eastAsia="zxx" w:bidi="zxx"/>
        </w:rPr>
      </w:pPr>
      <w:r>
        <w:rPr>
          <w:rFonts w:eastAsia="Calibri" w:cs="Calibri"/>
          <w:sz w:val="22"/>
          <w:szCs w:val="22"/>
          <w:lang w:val="zxx" w:eastAsia="zxx" w:bidi="zxx"/>
        </w:rPr>
        <w:t>La estructura de ingresos se divide en dos fases:</w:t>
      </w:r>
    </w:p>
    <w:p>
      <w:pPr>
        <w:pStyle w:val="Normal"/>
        <w:rPr>
          <w:lang w:val="zxx" w:eastAsia="zxx" w:bidi="zxx"/>
        </w:rPr>
      </w:pPr>
      <w:r>
        <w:rPr>
          <w:lang w:val="zxx" w:eastAsia="zxx" w:bidi="zxx"/>
        </w:rPr>
      </w:r>
    </w:p>
    <w:p>
      <w:pPr>
        <w:pStyle w:val="ListParagraph"/>
        <w:numPr>
          <w:ilvl w:val="0"/>
          <w:numId w:val="1"/>
        </w:numPr>
        <w:spacing w:before="60" w:after="60"/>
        <w:rPr>
          <w:lang w:val="zxx" w:eastAsia="zxx" w:bidi="zxx"/>
        </w:rPr>
      </w:pPr>
      <w:r>
        <w:rPr>
          <w:rFonts w:eastAsia="Calibri" w:cs="Calibri"/>
          <w:sz w:val="22"/>
          <w:szCs w:val="22"/>
          <w:lang w:val="zxx" w:eastAsia="zxx" w:bidi="zxx"/>
        </w:rPr>
        <w:t>Ingreso inicial por cliente: venta del servidor físico + servicio de instalación y configuración.</w:t>
      </w:r>
    </w:p>
    <w:p>
      <w:pPr>
        <w:pStyle w:val="ListParagraph"/>
        <w:numPr>
          <w:ilvl w:val="0"/>
          <w:numId w:val="1"/>
        </w:numPr>
        <w:spacing w:before="60" w:after="60"/>
        <w:rPr>
          <w:lang w:val="zxx" w:eastAsia="zxx" w:bidi="zxx"/>
        </w:rPr>
      </w:pPr>
      <w:r>
        <w:rPr>
          <w:rFonts w:eastAsia="Calibri" w:cs="Calibri"/>
          <w:sz w:val="22"/>
          <w:szCs w:val="22"/>
          <w:lang w:val="zxx" w:eastAsia="zxx" w:bidi="zxx"/>
        </w:rPr>
        <w:t xml:space="preserve">Ingreso recurrente anual: suscripción de licencia, mantenimiento y soporte. Este es el eje central del negocio a largo plazo, ya que genera flujo de caja predecible y escala con la base de clientes. </w:t>
      </w:r>
      <w:r>
        <w:rPr>
          <w:rFonts w:eastAsia="Calibri" w:cs="Calibri"/>
          <w:i/>
          <w:iCs/>
          <w:sz w:val="20"/>
          <w:szCs w:val="20"/>
          <w:lang w:val="zxx" w:eastAsia="zxx" w:bidi="zxx"/>
        </w:rPr>
        <w:t>*podemos añadir alguna cosa de letra pequeña de si se van en menos de x tiempo pagan una penalizacion o similar</w:t>
      </w:r>
    </w:p>
    <w:p>
      <w:pPr>
        <w:pStyle w:val="Normal"/>
        <w:rPr>
          <w:lang w:val="zxx" w:eastAsia="zxx" w:bidi="zxx"/>
        </w:rPr>
      </w:pPr>
      <w:r>
        <w:rPr>
          <w:lang w:val="zxx" w:eastAsia="zxx" w:bidi="zxx"/>
        </w:rPr>
      </w:r>
    </w:p>
    <w:p>
      <w:pPr>
        <w:pStyle w:val="Normal"/>
        <w:spacing w:before="80" w:after="80"/>
        <w:rPr>
          <w:lang w:val="zxx" w:eastAsia="zxx" w:bidi="zxx"/>
        </w:rPr>
      </w:pPr>
      <w:r>
        <w:rPr>
          <w:rFonts w:eastAsia="Calibri" w:cs="Calibri"/>
          <w:sz w:val="22"/>
          <w:szCs w:val="22"/>
          <w:lang w:val="zxx" w:eastAsia="zxx" w:bidi="zxx"/>
        </w:rPr>
        <w:t>El modelo es financieramente eficiente porque el hardware se autofinancia con el pago del cliente: no se inmoviliza capital propio en stock de servidores. SecureVault compra el equipo una vez firmado el contrato.</w:t>
      </w:r>
    </w:p>
    <w:p>
      <w:pPr>
        <w:pStyle w:val="Normal"/>
        <w:rPr>
          <w:lang w:val="zxx" w:eastAsia="zxx" w:bidi="zxx"/>
        </w:rPr>
      </w:pPr>
      <w:r>
        <w:rPr>
          <w:lang w:val="zxx" w:eastAsia="zxx" w:bidi="zxx"/>
        </w:rPr>
      </w:r>
    </w:p>
    <w:p>
      <w:pPr>
        <w:pStyle w:val="Heading2"/>
        <w:spacing w:before="300" w:after="150"/>
        <w:rPr>
          <w:lang w:val="zxx" w:eastAsia="zxx" w:bidi="zxx"/>
        </w:rPr>
      </w:pPr>
      <w:r>
        <w:rPr>
          <w:rFonts w:eastAsia="Calibri" w:cs="Calibri" w:ascii="Calibri" w:hAnsi="Calibri"/>
          <w:b/>
          <w:bCs/>
          <w:color w:val="1F618D"/>
          <w:sz w:val="26"/>
          <w:szCs w:val="26"/>
          <w:lang w:val="zxx" w:eastAsia="zxx" w:bidi="zxx"/>
        </w:rPr>
        <w:t>1.4. Cliente objetivo</w:t>
      </w:r>
    </w:p>
    <w:p>
      <w:pPr>
        <w:pStyle w:val="ListParagraph"/>
        <w:numPr>
          <w:ilvl w:val="0"/>
          <w:numId w:val="1"/>
        </w:numPr>
        <w:spacing w:before="60" w:after="60"/>
        <w:rPr>
          <w:lang w:val="zxx" w:eastAsia="zxx" w:bidi="zxx"/>
        </w:rPr>
      </w:pPr>
      <w:r>
        <w:rPr>
          <w:rFonts w:eastAsia="Calibri" w:cs="Calibri"/>
          <w:sz w:val="22"/>
          <w:szCs w:val="22"/>
          <w:lang w:val="zxx" w:eastAsia="zxx" w:bidi="zxx"/>
        </w:rPr>
        <w:t>PYMEs de 5 a 100 empleados en sectores con datos sensibles: asesorías, despachos de abogados, clínicas, gestorías, empresas de ingeniería.</w:t>
      </w:r>
    </w:p>
    <w:p>
      <w:pPr>
        <w:pStyle w:val="ListParagraph"/>
        <w:numPr>
          <w:ilvl w:val="0"/>
          <w:numId w:val="1"/>
        </w:numPr>
        <w:spacing w:before="60" w:after="60"/>
        <w:rPr>
          <w:lang w:val="zxx" w:eastAsia="zxx" w:bidi="zxx"/>
        </w:rPr>
      </w:pPr>
      <w:r>
        <w:rPr>
          <w:rFonts w:eastAsia="Calibri" w:cs="Calibri"/>
          <w:sz w:val="22"/>
          <w:szCs w:val="22"/>
          <w:lang w:val="zxx" w:eastAsia="zxx" w:bidi="zxx"/>
        </w:rPr>
        <w:t>Autónomos con actividad profesional regulada que necesitan cumplir el RGPD.</w:t>
      </w:r>
    </w:p>
    <w:p>
      <w:pPr>
        <w:pStyle w:val="ListParagraph"/>
        <w:numPr>
          <w:ilvl w:val="0"/>
          <w:numId w:val="1"/>
        </w:numPr>
        <w:spacing w:before="60" w:after="60"/>
        <w:rPr>
          <w:lang w:val="zxx" w:eastAsia="zxx" w:bidi="zxx"/>
        </w:rPr>
      </w:pPr>
      <w:r>
        <w:rPr>
          <w:rFonts w:eastAsia="Calibri" w:cs="Calibri"/>
          <w:sz w:val="22"/>
          <w:szCs w:val="22"/>
          <w:lang w:val="zxx" w:eastAsia="zxx" w:bidi="zxx"/>
        </w:rPr>
        <w:t>Empresas con desconfianza hacia el cloud público o con políticas internas de no externalización de datos.</w:t>
      </w:r>
    </w:p>
    <w:p>
      <w:pPr>
        <w:pStyle w:val="Normal"/>
        <w:rPr>
          <w:lang w:val="zxx" w:eastAsia="zxx" w:bidi="zxx"/>
        </w:rPr>
      </w:pPr>
      <w:r>
        <w:rPr>
          <w:lang w:val="zxx" w:eastAsia="zxx" w:bidi="zxx"/>
        </w:rPr>
      </w:r>
    </w:p>
    <w:p>
      <w:pPr>
        <w:pStyle w:val="Heading2"/>
        <w:spacing w:before="300" w:after="150"/>
        <w:rPr>
          <w:lang w:val="zxx" w:eastAsia="zxx" w:bidi="zxx"/>
        </w:rPr>
      </w:pPr>
      <w:r>
        <w:rPr>
          <w:rFonts w:eastAsia="Calibri" w:cs="Calibri" w:ascii="Calibri" w:hAnsi="Calibri"/>
          <w:b/>
          <w:bCs/>
          <w:color w:val="1F618D"/>
          <w:sz w:val="26"/>
          <w:szCs w:val="26"/>
          <w:lang w:val="zxx" w:eastAsia="zxx" w:bidi="zxx"/>
        </w:rPr>
        <w:t>1.5. Estructura de personal mínima</w:t>
      </w:r>
    </w:p>
    <w:p>
      <w:pPr>
        <w:pStyle w:val="Normal"/>
        <w:spacing w:before="80" w:after="80"/>
        <w:rPr>
          <w:lang w:val="zxx" w:eastAsia="zxx" w:bidi="zxx"/>
        </w:rPr>
      </w:pPr>
      <w:r>
        <w:rPr>
          <w:rFonts w:eastAsia="Calibri" w:cs="Calibri"/>
          <w:sz w:val="22"/>
          <w:szCs w:val="22"/>
          <w:lang w:val="zxx" w:eastAsia="zxx" w:bidi="zxx"/>
        </w:rPr>
        <w:t>La incorporación del servicio de instalación física hace necesario un equipo técnico de campo. El modelo de negocio justifica los siguientes perfiles:</w:t>
      </w:r>
    </w:p>
    <w:p>
      <w:pPr>
        <w:pStyle w:val="Normal"/>
        <w:rPr>
          <w:lang w:val="zxx" w:eastAsia="zxx" w:bidi="zxx"/>
        </w:rPr>
      </w:pPr>
      <w:r>
        <w:rPr>
          <w:lang w:val="zxx" w:eastAsia="zxx" w:bidi="zxx"/>
        </w:rPr>
      </w:r>
    </w:p>
    <w:tbl>
      <w:tblPr>
        <w:tblW w:w="9000" w:type="dxa"/>
        <w:jc w:val="left"/>
        <w:tblInd w:w="0" w:type="dxa"/>
        <w:tblLayout w:type="fixed"/>
        <w:tblCellMar>
          <w:top w:w="80" w:type="dxa"/>
          <w:left w:w="120" w:type="dxa"/>
          <w:bottom w:w="80" w:type="dxa"/>
          <w:right w:w="120" w:type="dxa"/>
        </w:tblCellMar>
      </w:tblPr>
      <w:tblGrid>
        <w:gridCol w:w="2799"/>
        <w:gridCol w:w="4001"/>
        <w:gridCol w:w="2200"/>
      </w:tblGrid>
      <w:tr>
        <w:trPr/>
        <w:tc>
          <w:tcPr>
            <w:tcW w:w="2799" w:type="dxa"/>
            <w:tcBorders>
              <w:top w:val="single" w:sz="2" w:space="0" w:color="1A5276"/>
              <w:left w:val="single" w:sz="2" w:space="0" w:color="1A5276"/>
              <w:bottom w:val="single" w:sz="2" w:space="0" w:color="1A5276"/>
              <w:right w:val="single" w:sz="2" w:space="0" w:color="1A5276"/>
            </w:tcBorders>
            <w:shd w:fill="1A5276" w:val="clear"/>
          </w:tcPr>
          <w:p>
            <w:pPr>
              <w:pStyle w:val="Normal"/>
              <w:rPr>
                <w:lang w:val="zxx" w:eastAsia="zxx" w:bidi="zxx"/>
              </w:rPr>
            </w:pPr>
            <w:r>
              <w:rPr>
                <w:rFonts w:eastAsia="Calibri" w:cs="Calibri"/>
                <w:b/>
                <w:bCs/>
                <w:color w:val="FFFFFF"/>
                <w:sz w:val="22"/>
                <w:szCs w:val="22"/>
                <w:lang w:val="zxx" w:eastAsia="zxx" w:bidi="zxx"/>
              </w:rPr>
              <w:t>Puesto</w:t>
            </w:r>
          </w:p>
        </w:tc>
        <w:tc>
          <w:tcPr>
            <w:tcW w:w="4001" w:type="dxa"/>
            <w:tcBorders>
              <w:top w:val="single" w:sz="2" w:space="0" w:color="1A5276"/>
              <w:left w:val="single" w:sz="2" w:space="0" w:color="1A5276"/>
              <w:bottom w:val="single" w:sz="2" w:space="0" w:color="1A5276"/>
              <w:right w:val="single" w:sz="2" w:space="0" w:color="1A5276"/>
            </w:tcBorders>
            <w:shd w:fill="1A5276" w:val="clear"/>
          </w:tcPr>
          <w:p>
            <w:pPr>
              <w:pStyle w:val="Normal"/>
              <w:rPr>
                <w:lang w:val="zxx" w:eastAsia="zxx" w:bidi="zxx"/>
              </w:rPr>
            </w:pPr>
            <w:r>
              <w:rPr>
                <w:rFonts w:eastAsia="Calibri" w:cs="Calibri"/>
                <w:b/>
                <w:bCs/>
                <w:color w:val="FFFFFF"/>
                <w:sz w:val="22"/>
                <w:szCs w:val="22"/>
                <w:lang w:val="zxx" w:eastAsia="zxx" w:bidi="zxx"/>
              </w:rPr>
              <w:t>Función principal</w:t>
            </w:r>
          </w:p>
        </w:tc>
        <w:tc>
          <w:tcPr>
            <w:tcW w:w="2200" w:type="dxa"/>
            <w:tcBorders>
              <w:top w:val="single" w:sz="2" w:space="0" w:color="1A5276"/>
              <w:left w:val="single" w:sz="2" w:space="0" w:color="1A5276"/>
              <w:bottom w:val="single" w:sz="2" w:space="0" w:color="1A5276"/>
              <w:right w:val="single" w:sz="2" w:space="0" w:color="1A5276"/>
            </w:tcBorders>
            <w:shd w:fill="1A5276" w:val="clear"/>
          </w:tcPr>
          <w:p>
            <w:pPr>
              <w:pStyle w:val="Normal"/>
              <w:rPr>
                <w:lang w:val="zxx" w:eastAsia="zxx" w:bidi="zxx"/>
              </w:rPr>
            </w:pPr>
            <w:r>
              <w:rPr>
                <w:rFonts w:eastAsia="Calibri" w:cs="Calibri"/>
                <w:b/>
                <w:bCs/>
                <w:color w:val="FFFFFF"/>
                <w:sz w:val="22"/>
                <w:szCs w:val="22"/>
                <w:lang w:val="zxx" w:eastAsia="zxx" w:bidi="zxx"/>
              </w:rPr>
              <w:t>Tipo de contrato</w:t>
            </w:r>
          </w:p>
        </w:tc>
      </w:tr>
      <w:tr>
        <w:trPr/>
        <w:tc>
          <w:tcPr>
            <w:tcW w:w="2799" w:type="dxa"/>
            <w:tcBorders>
              <w:top w:val="single" w:sz="2" w:space="0" w:color="CCCCCC"/>
              <w:left w:val="single" w:sz="2" w:space="0" w:color="CCCCCC"/>
              <w:bottom w:val="single" w:sz="2" w:space="0" w:color="CCCCCC"/>
              <w:right w:val="single" w:sz="2" w:space="0" w:color="CCCCCC"/>
            </w:tcBorders>
            <w:shd w:fill="F4F6F7" w:val="clear"/>
          </w:tcPr>
          <w:p>
            <w:pPr>
              <w:pStyle w:val="Normal"/>
              <w:rPr>
                <w:lang w:val="zxx" w:eastAsia="zxx" w:bidi="zxx"/>
              </w:rPr>
            </w:pPr>
            <w:r>
              <w:rPr>
                <w:rFonts w:eastAsia="Calibri" w:cs="Calibri"/>
                <w:sz w:val="20"/>
                <w:szCs w:val="20"/>
                <w:lang w:val="zxx" w:eastAsia="zxx" w:bidi="zxx"/>
              </w:rPr>
              <w:t>Desarrollador/a de software</w:t>
            </w:r>
          </w:p>
        </w:tc>
        <w:tc>
          <w:tcPr>
            <w:tcW w:w="4001" w:type="dxa"/>
            <w:tcBorders>
              <w:top w:val="single" w:sz="2" w:space="0" w:color="CCCCCC"/>
              <w:left w:val="single" w:sz="2" w:space="0" w:color="CCCCCC"/>
              <w:bottom w:val="single" w:sz="2" w:space="0" w:color="CCCCCC"/>
              <w:right w:val="single" w:sz="2" w:space="0" w:color="CCCCCC"/>
            </w:tcBorders>
            <w:shd w:fill="F4F6F7" w:val="clear"/>
          </w:tcPr>
          <w:p>
            <w:pPr>
              <w:pStyle w:val="Normal"/>
              <w:rPr>
                <w:lang w:val="zxx" w:eastAsia="zxx" w:bidi="zxx"/>
              </w:rPr>
            </w:pPr>
            <w:r>
              <w:rPr>
                <w:rFonts w:eastAsia="Calibri" w:cs="Calibri"/>
                <w:sz w:val="20"/>
                <w:szCs w:val="20"/>
                <w:lang w:val="zxx" w:eastAsia="zxx" w:bidi="zxx"/>
              </w:rPr>
              <w:t>Mantenimiento y evolución del producto SecureVault</w:t>
            </w:r>
          </w:p>
        </w:tc>
        <w:tc>
          <w:tcPr>
            <w:tcW w:w="2200" w:type="dxa"/>
            <w:tcBorders>
              <w:top w:val="single" w:sz="2" w:space="0" w:color="CCCCCC"/>
              <w:left w:val="single" w:sz="2" w:space="0" w:color="CCCCCC"/>
              <w:bottom w:val="single" w:sz="2" w:space="0" w:color="CCCCCC"/>
              <w:right w:val="single" w:sz="2" w:space="0" w:color="CCCCCC"/>
            </w:tcBorders>
            <w:shd w:fill="F4F6F7" w:val="clear"/>
          </w:tcPr>
          <w:p>
            <w:pPr>
              <w:pStyle w:val="Normal"/>
              <w:rPr>
                <w:lang w:val="zxx" w:eastAsia="zxx" w:bidi="zxx"/>
              </w:rPr>
            </w:pPr>
            <w:r>
              <w:rPr>
                <w:rFonts w:eastAsia="Calibri" w:cs="Calibri"/>
                <w:sz w:val="20"/>
                <w:szCs w:val="20"/>
                <w:lang w:val="zxx" w:eastAsia="zxx" w:bidi="zxx"/>
              </w:rPr>
              <w:t>Indefinido a jornada completa</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lang w:val="zxx" w:eastAsia="zxx" w:bidi="zxx"/>
              </w:rPr>
            </w:pPr>
            <w:r>
              <w:rPr>
                <w:rFonts w:eastAsia="Calibri" w:cs="Calibri"/>
                <w:sz w:val="20"/>
                <w:szCs w:val="20"/>
                <w:lang w:val="zxx" w:eastAsia="zxx" w:bidi="zxx"/>
              </w:rPr>
              <w:t>Técnico/a de sistemas</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lang w:val="zxx" w:eastAsia="zxx" w:bidi="zxx"/>
              </w:rPr>
            </w:pPr>
            <w:r>
              <w:rPr>
                <w:rFonts w:eastAsia="Calibri" w:cs="Calibri"/>
                <w:sz w:val="20"/>
                <w:szCs w:val="20"/>
                <w:lang w:val="zxx" w:eastAsia="zxx" w:bidi="zxx"/>
              </w:rPr>
              <w:t>Instalación en cliente, configuración, soporte presencial</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lang w:val="zxx" w:eastAsia="zxx" w:bidi="zxx"/>
              </w:rPr>
            </w:pPr>
            <w:r>
              <w:rPr>
                <w:rFonts w:eastAsia="Calibri" w:cs="Calibri"/>
                <w:sz w:val="20"/>
                <w:szCs w:val="20"/>
                <w:lang w:val="zxx" w:eastAsia="zxx" w:bidi="zxx"/>
              </w:rPr>
              <w:t>Indefinido a jornada completa</w:t>
            </w:r>
          </w:p>
        </w:tc>
      </w:tr>
      <w:tr>
        <w:trPr/>
        <w:tc>
          <w:tcPr>
            <w:tcW w:w="2799" w:type="dxa"/>
            <w:tcBorders>
              <w:top w:val="single" w:sz="2" w:space="0" w:color="CCCCCC"/>
              <w:left w:val="single" w:sz="2" w:space="0" w:color="CCCCCC"/>
              <w:bottom w:val="single" w:sz="2" w:space="0" w:color="CCCCCC"/>
              <w:right w:val="single" w:sz="2" w:space="0" w:color="CCCCCC"/>
            </w:tcBorders>
            <w:shd w:fill="F4F6F7" w:val="clear"/>
          </w:tcPr>
          <w:p>
            <w:pPr>
              <w:pStyle w:val="Normal"/>
              <w:rPr>
                <w:lang w:val="zxx" w:eastAsia="zxx" w:bidi="zxx"/>
              </w:rPr>
            </w:pPr>
            <w:r>
              <w:rPr>
                <w:rFonts w:eastAsia="Calibri" w:cs="Calibri"/>
                <w:sz w:val="20"/>
                <w:szCs w:val="20"/>
                <w:lang w:val="zxx" w:eastAsia="zxx" w:bidi="zxx"/>
              </w:rPr>
              <w:t>Responsable comercial/administración</w:t>
            </w:r>
          </w:p>
        </w:tc>
        <w:tc>
          <w:tcPr>
            <w:tcW w:w="4001" w:type="dxa"/>
            <w:tcBorders>
              <w:top w:val="single" w:sz="2" w:space="0" w:color="CCCCCC"/>
              <w:left w:val="single" w:sz="2" w:space="0" w:color="CCCCCC"/>
              <w:bottom w:val="single" w:sz="2" w:space="0" w:color="CCCCCC"/>
              <w:right w:val="single" w:sz="2" w:space="0" w:color="CCCCCC"/>
            </w:tcBorders>
            <w:shd w:fill="F4F6F7" w:val="clear"/>
          </w:tcPr>
          <w:p>
            <w:pPr>
              <w:pStyle w:val="Normal"/>
              <w:rPr>
                <w:lang w:val="zxx" w:eastAsia="zxx" w:bidi="zxx"/>
              </w:rPr>
            </w:pPr>
            <w:r>
              <w:rPr>
                <w:rFonts w:eastAsia="Calibri" w:cs="Calibri"/>
                <w:sz w:val="20"/>
                <w:szCs w:val="20"/>
                <w:lang w:val="zxx" w:eastAsia="zxx" w:bidi="zxx"/>
              </w:rPr>
              <w:t>Captación de clientes, gestión de contratos y facturación</w:t>
            </w:r>
          </w:p>
        </w:tc>
        <w:tc>
          <w:tcPr>
            <w:tcW w:w="2200" w:type="dxa"/>
            <w:tcBorders>
              <w:top w:val="single" w:sz="2" w:space="0" w:color="CCCCCC"/>
              <w:left w:val="single" w:sz="2" w:space="0" w:color="CCCCCC"/>
              <w:bottom w:val="single" w:sz="2" w:space="0" w:color="CCCCCC"/>
              <w:right w:val="single" w:sz="2" w:space="0" w:color="CCCCCC"/>
            </w:tcBorders>
            <w:shd w:fill="F4F6F7" w:val="clear"/>
          </w:tcPr>
          <w:p>
            <w:pPr>
              <w:pStyle w:val="Normal"/>
              <w:rPr>
                <w:lang w:val="zxx" w:eastAsia="zxx" w:bidi="zxx"/>
              </w:rPr>
            </w:pPr>
            <w:r>
              <w:rPr>
                <w:rFonts w:eastAsia="Calibri" w:cs="Calibri"/>
                <w:sz w:val="20"/>
                <w:szCs w:val="20"/>
                <w:lang w:val="zxx" w:eastAsia="zxx" w:bidi="zxx"/>
              </w:rPr>
              <w:t>Indefinido a jornada completa</w:t>
            </w:r>
          </w:p>
        </w:tc>
      </w:tr>
    </w:tbl>
    <w:p>
      <w:pPr>
        <w:pStyle w:val="Normal"/>
        <w:rPr>
          <w:lang w:val="zxx" w:eastAsia="zxx" w:bidi="zxx"/>
        </w:rPr>
      </w:pPr>
      <w:r>
        <w:rPr>
          <w:lang w:val="zxx" w:eastAsia="zxx" w:bidi="zxx"/>
        </w:rPr>
      </w:r>
    </w:p>
    <w:p>
      <w:pPr>
        <w:pStyle w:val="Normal"/>
        <w:rPr>
          <w:rFonts w:ascii="Calibri" w:hAnsi="Calibri" w:eastAsia="Calibri" w:cs="Calibri"/>
          <w:b/>
          <w:bCs/>
          <w:color w:val="1A5276"/>
          <w:sz w:val="36"/>
          <w:szCs w:val="36"/>
        </w:rPr>
      </w:pPr>
      <w:r>
        <w:rPr>
          <w:lang w:val="zxx" w:eastAsia="zxx" w:bidi="zxx"/>
        </w:rPr>
      </w:r>
    </w:p>
    <w:p>
      <w:pPr>
        <w:pStyle w:val="Normal"/>
        <w:rPr>
          <w:rFonts w:ascii="Calibri" w:hAnsi="Calibri" w:eastAsia="Calibri" w:cs="Calibri"/>
          <w:b/>
          <w:bCs/>
          <w:color w:val="1A5276"/>
          <w:sz w:val="36"/>
          <w:szCs w:val="36"/>
        </w:rPr>
      </w:pPr>
      <w:r>
        <w:rPr>
          <w:lang w:val="zxx" w:eastAsia="zxx" w:bidi="zxx"/>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400" w:after="200"/>
      <w:outlineLvl w:val="0"/>
    </w:pPr>
    <w:rPr>
      <w:rFonts w:ascii="Calibri" w:hAnsi="Calibri" w:eastAsia="Calibri" w:cs="Calibri"/>
      <w:b/>
      <w:bCs/>
      <w:color w:val="1A5276"/>
      <w:sz w:val="32"/>
      <w:szCs w:val="32"/>
    </w:rPr>
  </w:style>
  <w:style w:type="paragraph" w:styleId="Heading2">
    <w:name w:val="Heading 2"/>
    <w:basedOn w:val="Heading"/>
    <w:qFormat/>
    <w:pPr>
      <w:spacing w:before="300" w:after="150"/>
      <w:outlineLvl w:val="1"/>
    </w:pPr>
    <w:rPr>
      <w:rFonts w:ascii="Calibri" w:hAnsi="Calibri" w:eastAsia="Calibri" w:cs="Calibri"/>
      <w:b/>
      <w:bCs/>
      <w:color w:val="1F618D"/>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3</Pages>
  <Words>532</Words>
  <Characters>3053</Characters>
  <CharactersWithSpaces>3527</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2026-03-15T17:48:42Z</dcterms:created>
  <dc:creator>Un-named</dc:creator>
  <dc:description/>
  <dc:language>en-US</dc:language>
  <cp:lastModifiedBy/>
  <dcterms:modified xsi:type="dcterms:W3CDTF">2026-03-15T18:53:11Z</dcterms:modified>
  <cp:revision>2</cp:revision>
  <dc:subject/>
  <dc:title/>
</cp:coreProperties>
</file>