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How to Defend Forecasting Accuracy and Trustworthiness</w:t>
      </w:r>
    </w:p>
    <w:p>
      <w:pPr>
        <w:pStyle w:val="Subtitle"/>
      </w:pPr>
      <w:r>
        <w:t xml:space="preserve">For HENalytics predictive analytics and decision-making defense</w:t>
      </w:r>
    </w:p>
    <w:p>
      <w:r>
        <w:rPr>
          <w:b/>
        </w:rPr>
        <w:t xml:space="preserve">Recommended claim: </w:t>
      </w:r>
      <w:r>
        <w:t xml:space="preserve">The forecasting module is trustworthy for decision support, but it should not be presented as 100% accurate. It provides data-based estimates of future egg production and sales trends using historical records, model testing, and measurable forecast errors.</w:t>
      </w:r>
    </w:p>
    <w:p>
      <w:r>
        <w:rPr>
          <w:b/>
        </w:rPr>
        <w:t xml:space="preserve">Defense wording: </w:t>
      </w:r>
      <w:r>
        <w:t xml:space="preserve">The model is considered useful and trustworthy for decision-making because it was evaluated using historical test data and its forecast error was measured. While the system cannot guarantee exact future values, it can identify production and sales trends that help the poultry unit plan ahead and respond earlier to possible declines.</w:t>
      </w:r>
    </w:p>
    <w:p>
      <w:pPr>
        <w:pStyle w:val="Heading1"/>
      </w:pPr>
      <w:r>
        <w:t xml:space="preserve">Why the Forecast Can Be Trusted</w:t>
      </w:r>
    </w:p>
    <w:p>
      <w:r>
        <w:rPr>
          <w:b/>
        </w:rPr>
        <w:t xml:space="preserve">It uses historical records. </w:t>
      </w:r>
      <w:r>
        <w:t xml:space="preserve">The forecast is based on actual egg production and sales records, not random assumptions.</w:t>
      </w:r>
    </w:p>
    <w:p>
      <w:r>
        <w:rPr>
          <w:b/>
        </w:rPr>
        <w:t xml:space="preserve">It separates training and testing data. </w:t>
      </w:r>
      <w:r>
        <w:t xml:space="preserve">The model learns from one portion of the data, then its output is compared against unseen records.</w:t>
      </w:r>
    </w:p>
    <w:p>
      <w:r>
        <w:rPr>
          <w:b/>
        </w:rPr>
        <w:t xml:space="preserve">It uses measurable error metrics. </w:t>
      </w:r>
      <w:r>
        <w:t xml:space="preserve">MAE, RMSE, and MAPE show how far the forecast is from actual values.</w:t>
      </w:r>
    </w:p>
    <w:p>
      <w:r>
        <w:rPr>
          <w:b/>
        </w:rPr>
        <w:t xml:space="preserve">It shows actual vs. forecast charts. </w:t>
      </w:r>
      <w:r>
        <w:t xml:space="preserve">Users can visually check whether the forecast follows real production direction, such as increasing, decreasing, or fluctuating trends.</w:t>
      </w:r>
    </w:p>
    <w:p>
      <w:r>
        <w:rPr>
          <w:b/>
        </w:rPr>
        <w:t xml:space="preserve">It supports decisions, not final decisions. </w:t>
      </w:r>
      <w:r>
        <w:t xml:space="preserve">The forecast guides planning, while poultry staff still consider real-world factors such as disease, feed changes, weather, flock age, and flock condition.</w:t>
      </w:r>
    </w:p>
    <w:p>
      <w:pPr>
        <w:pStyle w:val="Heading1"/>
      </w:pPr>
      <w:r>
        <w:t xml:space="preserve">Metrics You Can Mention</w:t>
      </w:r>
    </w:p>
    <w:tbl>
      <w:tblPr>
        <w:tblW w:w="936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600"/>
        <w:gridCol w:w="2700"/>
        <w:gridCol w:w="5060"/>
      </w:tblGrid>
      <w:tr>
        <w:tc>
          <w:tcPr>
            <w:tcW w:w="1600" w:type="dxa"/>
            <w:shd w:fill="EEF3FF"/>
            <w:tcMar>
              <w:top w:w="120" w:type="dxa"/>
              <w:bottom w:w="120" w:type="dxa"/>
              <w:start w:w="120" w:type="dxa"/>
              <w:end w:w="120" w:type="dxa"/>
            </w:tcMar>
          </w:tcPr>
          <w:p>
            <w:r>
              <w:rPr>
                <w:b/>
                <w:color w:val="1F3A5F"/>
                <w:sz w:val="21"/>
              </w:rPr>
              <w:t xml:space="preserve">Metric</w:t>
            </w:r>
          </w:p>
        </w:tc>
        <w:tc>
          <w:tcPr>
            <w:tcW w:w="2700" w:type="dxa"/>
            <w:shd w:fill="EEF3FF"/>
            <w:tcMar>
              <w:top w:w="120" w:type="dxa"/>
              <w:bottom w:w="120" w:type="dxa"/>
              <w:start w:w="120" w:type="dxa"/>
              <w:end w:w="120" w:type="dxa"/>
            </w:tcMar>
          </w:tcPr>
          <w:p>
            <w:r>
              <w:rPr>
                <w:b/>
                <w:color w:val="1F3A5F"/>
                <w:sz w:val="21"/>
              </w:rPr>
              <w:t xml:space="preserve">Meaning</w:t>
            </w:r>
          </w:p>
        </w:tc>
        <w:tc>
          <w:tcPr>
            <w:tcW w:w="5060" w:type="dxa"/>
            <w:shd w:fill="EEF3FF"/>
            <w:tcMar>
              <w:top w:w="120" w:type="dxa"/>
              <w:bottom w:w="120" w:type="dxa"/>
              <w:start w:w="120" w:type="dxa"/>
              <w:end w:w="120" w:type="dxa"/>
            </w:tcMar>
          </w:tcPr>
          <w:p>
            <w:r>
              <w:rPr>
                <w:b/>
                <w:color w:val="1F3A5F"/>
                <w:sz w:val="21"/>
              </w:rPr>
              <w:t xml:space="preserve">How to Explain It</w:t>
            </w:r>
          </w:p>
        </w:tc>
      </w:tr>
      <w:tr>
        <w:tc>
          <w:tcPr>
            <w:tcW w:w="1600" w:type="dxa"/>
            <w:tcMar>
              <w:top w:w="120" w:type="dxa"/>
              <w:bottom w:w="120" w:type="dxa"/>
              <w:start w:w="120" w:type="dxa"/>
              <w:end w:w="120" w:type="dxa"/>
            </w:tcMar>
          </w:tcPr>
          <w:p>
            <w:r>
              <w:rPr>
                <w:sz w:val="21"/>
              </w:rPr>
              <w:t xml:space="preserve">MAE</w:t>
            </w:r>
          </w:p>
        </w:tc>
        <w:tc>
          <w:tcPr>
            <w:tcW w:w="2700" w:type="dxa"/>
            <w:tcMar>
              <w:top w:w="120" w:type="dxa"/>
              <w:bottom w:w="120" w:type="dxa"/>
              <w:start w:w="120" w:type="dxa"/>
              <w:end w:w="120" w:type="dxa"/>
            </w:tcMar>
          </w:tcPr>
          <w:p>
            <w:r>
              <w:rPr>
                <w:sz w:val="21"/>
              </w:rPr>
              <w:t xml:space="preserve">Mean Absolute Error</w:t>
            </w:r>
          </w:p>
        </w:tc>
        <w:tc>
          <w:tcPr>
            <w:tcW w:w="5060" w:type="dxa"/>
            <w:tcMar>
              <w:top w:w="120" w:type="dxa"/>
              <w:bottom w:w="120" w:type="dxa"/>
              <w:start w:w="120" w:type="dxa"/>
              <w:end w:w="120" w:type="dxa"/>
            </w:tcMar>
          </w:tcPr>
          <w:p>
            <w:r>
              <w:rPr>
                <w:sz w:val="21"/>
              </w:rPr>
              <w:t xml:space="preserve">Average difference between forecasted and actual values.</w:t>
            </w:r>
          </w:p>
        </w:tc>
      </w:tr>
      <w:tr>
        <w:tc>
          <w:tcPr>
            <w:tcW w:w="1600" w:type="dxa"/>
            <w:tcMar>
              <w:top w:w="120" w:type="dxa"/>
              <w:bottom w:w="120" w:type="dxa"/>
              <w:start w:w="120" w:type="dxa"/>
              <w:end w:w="120" w:type="dxa"/>
            </w:tcMar>
          </w:tcPr>
          <w:p>
            <w:r>
              <w:rPr>
                <w:sz w:val="21"/>
              </w:rPr>
              <w:t xml:space="preserve">RMSE</w:t>
            </w:r>
          </w:p>
        </w:tc>
        <w:tc>
          <w:tcPr>
            <w:tcW w:w="2700" w:type="dxa"/>
            <w:tcMar>
              <w:top w:w="120" w:type="dxa"/>
              <w:bottom w:w="120" w:type="dxa"/>
              <w:start w:w="120" w:type="dxa"/>
              <w:end w:w="120" w:type="dxa"/>
            </w:tcMar>
          </w:tcPr>
          <w:p>
            <w:r>
              <w:rPr>
                <w:sz w:val="21"/>
              </w:rPr>
              <w:t xml:space="preserve">Root Mean Squared Error</w:t>
            </w:r>
          </w:p>
        </w:tc>
        <w:tc>
          <w:tcPr>
            <w:tcW w:w="5060" w:type="dxa"/>
            <w:tcMar>
              <w:top w:w="120" w:type="dxa"/>
              <w:bottom w:w="120" w:type="dxa"/>
              <w:start w:w="120" w:type="dxa"/>
              <w:end w:w="120" w:type="dxa"/>
            </w:tcMar>
          </w:tcPr>
          <w:p>
            <w:r>
              <w:rPr>
                <w:sz w:val="21"/>
              </w:rPr>
              <w:t xml:space="preserve">Similar to MAE, but gives stronger penalty to large forecast mistakes.</w:t>
            </w:r>
          </w:p>
        </w:tc>
      </w:tr>
      <w:tr>
        <w:tc>
          <w:tcPr>
            <w:tcW w:w="1600" w:type="dxa"/>
            <w:tcMar>
              <w:top w:w="120" w:type="dxa"/>
              <w:bottom w:w="120" w:type="dxa"/>
              <w:start w:w="120" w:type="dxa"/>
              <w:end w:w="120" w:type="dxa"/>
            </w:tcMar>
          </w:tcPr>
          <w:p>
            <w:r>
              <w:rPr>
                <w:sz w:val="21"/>
              </w:rPr>
              <w:t xml:space="preserve">MAPE</w:t>
            </w:r>
          </w:p>
        </w:tc>
        <w:tc>
          <w:tcPr>
            <w:tcW w:w="2700" w:type="dxa"/>
            <w:tcMar>
              <w:top w:w="120" w:type="dxa"/>
              <w:bottom w:w="120" w:type="dxa"/>
              <w:start w:w="120" w:type="dxa"/>
              <w:end w:w="120" w:type="dxa"/>
            </w:tcMar>
          </w:tcPr>
          <w:p>
            <w:r>
              <w:rPr>
                <w:sz w:val="21"/>
              </w:rPr>
              <w:t xml:space="preserve">Mean Absolute Percentage Error</w:t>
            </w:r>
          </w:p>
        </w:tc>
        <w:tc>
          <w:tcPr>
            <w:tcW w:w="5060" w:type="dxa"/>
            <w:tcMar>
              <w:top w:w="120" w:type="dxa"/>
              <w:bottom w:w="120" w:type="dxa"/>
              <w:start w:w="120" w:type="dxa"/>
              <w:end w:w="120" w:type="dxa"/>
            </w:tcMar>
          </w:tcPr>
          <w:p>
            <w:r>
              <w:rPr>
                <w:sz w:val="21"/>
              </w:rPr>
              <w:t xml:space="preserve">Percentage error, useful because it is easier for non-technical evaluators to understand.</w:t>
            </w:r>
          </w:p>
        </w:tc>
      </w:tr>
    </w:tbl>
    <w:p>
      <w:pPr>
        <w:pStyle w:val="Heading1"/>
      </w:pPr>
      <w:r>
        <w:t xml:space="preserve">Short Defense Script</w:t>
      </w:r>
    </w:p>
    <w:p>
      <w:r>
        <w:rPr>
          <w:b/>
        </w:rPr>
        <w:t xml:space="preserve">You can say: </w:t>
      </w:r>
      <w:r>
        <w:t xml:space="preserve">The forecasting feature of HENalytics is intended as a decision-support tool. It uses historical egg production and sales records to forecast future trends. To verify trustworthiness, the dataset is divided into training and testing portions. The model is trained on historical data and evaluated against records it has not seen before. Its performance is measured using error metrics such as MAE, RMSE, and MAPE. Because poultry production can still be affected by external factors, the forecast is not treated as an exact guarantee, but as a reliable guide for planning, monitoring production decline, and supporting management decisions.</w:t>
      </w:r>
    </w:p>
    <w:p>
      <w:pPr>
        <w:pStyle w:val="Heading1"/>
      </w:pPr>
      <w:r>
        <w:t xml:space="preserve">Commit Message Note</w:t>
      </w:r>
    </w:p>
    <w:p>
      <w:r>
        <w:rPr>
          <w:b/>
        </w:rPr>
        <w:t xml:space="preserve">Suggested commit message: </w:t>
      </w:r>
      <w:r>
        <w:t xml:space="preserve">Add forecasting trustworthiness defense note document</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pPr>
      <w:spacing w:after="120" w:line="264" w:lineRule="auto"/>
    </w:pPr>
    <w:rPr>
      <w:rFonts w:ascii="Calibri" w:hAnsi="Calibri"/>
      <w:sz w:val="22"/>
    </w:rPr>
  </w:style>
  <w:style w:type="paragraph" w:styleId="Title">
    <w:name w:val="Title"/>
    <w:basedOn w:val="Normal"/>
    <w:qFormat/>
    <w:pPr>
      <w:spacing w:after="80"/>
    </w:pPr>
    <w:rPr>
      <w:rFonts w:ascii="Calibri" w:hAnsi="Calibri"/>
      <w:b/>
      <w:color w:val="2F5FD0"/>
      <w:sz w:val="40"/>
    </w:rPr>
  </w:style>
  <w:style w:type="paragraph" w:styleId="Subtitle">
    <w:name w:val="Subtitle"/>
    <w:basedOn w:val="Normal"/>
    <w:qFormat/>
    <w:pPr>
      <w:spacing w:after="240"/>
    </w:pPr>
    <w:rPr>
      <w:rFonts w:ascii="Calibri" w:hAnsi="Calibri"/>
      <w:color w:val="555555"/>
      <w:sz w:val="21"/>
    </w:rPr>
  </w:style>
  <w:style w:type="paragraph" w:styleId="Heading1">
    <w:name w:val="heading 1"/>
    <w:basedOn w:val="Normal"/>
    <w:qFormat/>
    <w:pPr>
      <w:keepNext/>
      <w:spacing w:before="240" w:after="120"/>
    </w:pPr>
    <w:rPr>
      <w:rFonts w:ascii="Calibri" w:hAnsi="Calibri"/>
      <w:b/>
      <w:color w:val="2E74B5"/>
      <w:sz w:val="3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