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HENalytics Machine Learning Forecasting Explanation</w:t>
      </w:r>
    </w:p>
    <w:p>
      <w:pPr>
        <w:pStyle w:val="Subtitle"/>
      </w:pPr>
      <w:r>
        <w:rPr/>
        <w:t xml:space="preserve">Defense guide for ARIMA/SARIMA forecasting, validation, and decision support</w:t>
      </w:r>
    </w:p>
    <w:p>
      <w:pPr>
        <w:pStyle w:val="Heading1"/>
      </w:pPr>
      <w:r>
        <w:rPr/>
        <w:t xml:space="preserve">Purpose of the Machine Learning Module</w:t>
      </w:r>
    </w:p>
    <w:p>
      <w:r>
        <w:rPr/>
        <w:t xml:space="preserve">The machine learning module of HENalytics is designed to forecast future egg production and sales trends using historical records stored in the system. Its purpose is not to guarantee exact future values, but to provide a data-driven estimate that can support planning, monitoring, and management decisions in the poultry unit.</w:t>
      </w:r>
    </w:p>
    <w:p>
      <w:pPr>
        <w:pStyle w:val="Heading1"/>
      </w:pPr>
      <w:r>
        <w:rPr/>
        <w:t xml:space="preserve">Forecasting Method</w:t>
      </w:r>
    </w:p>
    <w:p>
      <w:r>
        <w:rPr/>
        <w:t xml:space="preserve">HENalytics uses time-series forecasting. A time series is data recorded over time, such as daily egg production or daily sales revenue. Since poultry records are date-based, time-series forecasting is appropriate because the model can learn patterns from previous days and estimate future values.</w:t>
      </w:r>
    </w:p>
    <w:p>
      <w:r>
        <w:rPr/>
        <w:t xml:space="preserve">For egg production, the system uses seasonal ARIMA, also known as SARIMA. SARIMA is an extension of ARIMA that can capture repeating patterns, such as weekly production behavior. In the current draft, the seasonal period is set to 7 days so the model can consider weekly seasonality.</w:t>
      </w:r>
    </w:p>
    <w:p>
      <w:r>
        <w:rPr/>
        <w:t xml:space="preserve">For defense wording: HENalytics applies SARIMA-based time-series forecasting to estimate future egg production trends by learning from historical daily records and recurring weekly patterns.</w:t>
      </w:r>
    </w:p>
    <w:p>
      <w:pPr>
        <w:pStyle w:val="Heading1"/>
      </w:pPr>
      <w:r>
        <w:rPr/>
        <w:t xml:space="preserve">Why Seasonality Matters</w:t>
      </w:r>
    </w:p>
    <w:p>
      <w:r>
        <w:rPr/>
        <w:t xml:space="preserve">Plain ARIMA can model trend and short-term movement, but it does not explicitly handle repeating seasonal behavior. Poultry production can have repeated patterns because records are collected daily and operational routines often repeat weekly. SARIMA improves the forecast by adding a seasonal component to the model.</w:t>
      </w:r>
    </w:p>
    <w:p>
      <w:pPr>
        <w:pStyle w:val="ListBullet"/>
      </w:pPr>
      <w:r>
        <w:rPr/>
        <w:t xml:space="preserve">ARIMA: Handles trend and time-based dependence.</w:t>
      </w:r>
    </w:p>
    <w:p>
      <w:pPr>
        <w:pStyle w:val="ListBullet"/>
      </w:pPr>
      <w:r>
        <w:rPr/>
        <w:t xml:space="preserve">SARIMA: Handles trend plus repeating seasonal behavior.</w:t>
      </w:r>
    </w:p>
    <w:p>
      <w:pPr>
        <w:pStyle w:val="ListBullet"/>
      </w:pPr>
      <w:r>
        <w:rPr/>
        <w:t xml:space="preserve">Current seasonal period: 7 days, used to capture weekly seasonality.</w:t>
      </w:r>
    </w:p>
    <w:p>
      <w:pPr>
        <w:pStyle w:val="Heading1"/>
      </w:pPr>
      <w:r>
        <w:rPr/>
        <w:t xml:space="preserve">Data Preparation</w:t>
      </w:r>
    </w:p>
    <w:p>
      <w:r>
        <w:rPr/>
        <w:t xml:space="preserve">Before training the model, the system converts production and sales records into daily time-series data. Records are grouped by date, sorted chronologically, and prepared for forecasting.</w:t>
      </w:r>
    </w:p>
    <w:p>
      <w:r>
        <w:rPr/>
        <w:t xml:space="preserve">A key improvement is missing-date handling. Missing calendar dates are not treated as zero production. Instead, missing dates are interpolated based on nearby real records. This prevents the model from incorrectly learning that production suddenly dropped to zero when the real issue is only a missing record.</w:t>
      </w:r>
    </w:p>
    <w:p>
      <w:r>
        <w:rPr/>
        <w:t xml:space="preserve">Defense wording: Missing dates are handled through interpolation rather than zero filling, reducing the risk of misleading forecast drops caused by incomplete records.</w:t>
      </w:r>
    </w:p>
    <w:p>
      <w:pPr>
        <w:pStyle w:val="Heading1"/>
      </w:pPr>
      <w:r>
        <w:rPr/>
        <w:t xml:space="preserve">Training and Testing</w:t>
      </w:r>
    </w:p>
    <w:p>
      <w:r>
        <w:rPr/>
        <w:t xml:space="preserve">To check if the model is trustworthy, the system uses backtesting. Backtesting means the model is trained using older historical records, then tested against recent records that it has not seen before. This helps evaluate whether the forecast follows actual production behavior.</w:t>
      </w:r>
    </w:p>
    <w:p>
      <w:pPr>
        <w:pStyle w:val="ListBullet"/>
      </w:pPr>
      <w:r>
        <w:rPr/>
        <w:t xml:space="preserve">Training data: The historical records used by the model to learn patterns.</w:t>
      </w:r>
    </w:p>
    <w:p>
      <w:pPr>
        <w:pStyle w:val="ListBullet"/>
      </w:pPr>
      <w:r>
        <w:rPr/>
        <w:t xml:space="preserve">Testing data: The unseen portion of historical records used to measure forecast error.</w:t>
      </w:r>
    </w:p>
    <w:p>
      <w:pPr>
        <w:pStyle w:val="ListBullet"/>
      </w:pPr>
      <w:r>
        <w:rPr/>
        <w:t xml:space="preserve">Backtesting: Comparing forecasted values against actual historical values.</w:t>
      </w:r>
    </w:p>
    <w:p>
      <w:pPr>
        <w:pStyle w:val="Heading1"/>
      </w:pPr>
      <w:r>
        <w:rPr/>
        <w:t xml:space="preserve">Forecast Accuracy Metrics</w:t>
      </w:r>
    </w:p>
    <w:tbl>
      <w:tblPr>
        <w:tblW w:w="9360" w:type="dxa"/>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7160"/>
      </w:tblGrid>
      <w:tr>
        <w:tc>
          <w:tcPr>
            <w:tcW w:w="2200" w:type="dxa"/>
            <w:shd w:fill="EEF3FF"/>
            <w:tcMar>
              <w:top w:w="120" w:type="dxa"/>
              <w:bottom w:w="120" w:type="dxa"/>
              <w:start w:w="120" w:type="dxa"/>
              <w:end w:w="120" w:type="dxa"/>
            </w:tcMar>
          </w:tcPr>
          <w:p>
            <w:r>
              <w:rPr>
                <w:b/>
                <w:color w:val="1F3A5F"/>
                <w:sz w:val="21"/>
              </w:rPr>
              <w:t xml:space="preserve">Metric</w:t>
            </w:r>
          </w:p>
        </w:tc>
        <w:tc>
          <w:tcPr>
            <w:tcW w:w="7160" w:type="dxa"/>
            <w:shd w:fill="EEF3FF"/>
            <w:tcMar>
              <w:top w:w="120" w:type="dxa"/>
              <w:bottom w:w="120" w:type="dxa"/>
              <w:start w:w="120" w:type="dxa"/>
              <w:end w:w="120" w:type="dxa"/>
            </w:tcMar>
          </w:tcPr>
          <w:p>
            <w:r>
              <w:rPr>
                <w:b/>
                <w:color w:val="1F3A5F"/>
                <w:sz w:val="21"/>
              </w:rPr>
              <w:t xml:space="preserve">Meaning</w:t>
            </w:r>
          </w:p>
        </w:tc>
      </w:tr>
      <w:tr>
        <w:tc>
          <w:tcPr>
            <w:tcW w:w="2200" w:type="dxa"/>
            <w:tcMar>
              <w:top w:w="120" w:type="dxa"/>
              <w:bottom w:w="120" w:type="dxa"/>
              <w:start w:w="120" w:type="dxa"/>
              <w:end w:w="120" w:type="dxa"/>
            </w:tcMar>
          </w:tcPr>
          <w:p>
            <w:r>
              <w:rPr>
                <w:b/>
                <w:sz w:val="21"/>
              </w:rPr>
              <w:t xml:space="preserve">MAE</w:t>
            </w:r>
          </w:p>
        </w:tc>
        <w:tc>
          <w:tcPr>
            <w:tcW w:w="7160" w:type="dxa"/>
            <w:tcMar>
              <w:top w:w="120" w:type="dxa"/>
              <w:bottom w:w="120" w:type="dxa"/>
              <w:start w:w="120" w:type="dxa"/>
              <w:end w:w="120" w:type="dxa"/>
            </w:tcMar>
          </w:tcPr>
          <w:p>
            <w:r>
              <w:rPr>
                <w:sz w:val="21"/>
              </w:rPr>
              <w:t xml:space="preserve">Average absolute difference between actual and forecasted values.</w:t>
            </w:r>
          </w:p>
        </w:tc>
      </w:tr>
      <w:tr>
        <w:tc>
          <w:tcPr>
            <w:tcW w:w="2200" w:type="dxa"/>
            <w:tcMar>
              <w:top w:w="120" w:type="dxa"/>
              <w:bottom w:w="120" w:type="dxa"/>
              <w:start w:w="120" w:type="dxa"/>
              <w:end w:w="120" w:type="dxa"/>
            </w:tcMar>
          </w:tcPr>
          <w:p>
            <w:r>
              <w:rPr>
                <w:b/>
                <w:sz w:val="21"/>
              </w:rPr>
              <w:t xml:space="preserve">RMSE</w:t>
            </w:r>
          </w:p>
        </w:tc>
        <w:tc>
          <w:tcPr>
            <w:tcW w:w="7160" w:type="dxa"/>
            <w:tcMar>
              <w:top w:w="120" w:type="dxa"/>
              <w:bottom w:w="120" w:type="dxa"/>
              <w:start w:w="120" w:type="dxa"/>
              <w:end w:w="120" w:type="dxa"/>
            </w:tcMar>
          </w:tcPr>
          <w:p>
            <w:r>
              <w:rPr>
                <w:sz w:val="21"/>
              </w:rPr>
              <w:t xml:space="preserve">Error metric that gives stronger penalty to large forecast mistakes.</w:t>
            </w:r>
          </w:p>
        </w:tc>
      </w:tr>
      <w:tr>
        <w:tc>
          <w:tcPr>
            <w:tcW w:w="2200" w:type="dxa"/>
            <w:tcMar>
              <w:top w:w="120" w:type="dxa"/>
              <w:bottom w:w="120" w:type="dxa"/>
              <w:start w:w="120" w:type="dxa"/>
              <w:end w:w="120" w:type="dxa"/>
            </w:tcMar>
          </w:tcPr>
          <w:p>
            <w:r>
              <w:rPr>
                <w:b/>
                <w:sz w:val="21"/>
              </w:rPr>
              <w:t xml:space="preserve">MAPE</w:t>
            </w:r>
          </w:p>
        </w:tc>
        <w:tc>
          <w:tcPr>
            <w:tcW w:w="7160" w:type="dxa"/>
            <w:tcMar>
              <w:top w:w="120" w:type="dxa"/>
              <w:bottom w:w="120" w:type="dxa"/>
              <w:start w:w="120" w:type="dxa"/>
              <w:end w:w="120" w:type="dxa"/>
            </w:tcMar>
          </w:tcPr>
          <w:p>
            <w:r>
              <w:rPr>
                <w:sz w:val="21"/>
              </w:rPr>
              <w:t xml:space="preserve">Percentage error, useful because it is easier to explain to non-technical evaluators.</w:t>
            </w:r>
          </w:p>
        </w:tc>
      </w:tr>
      <w:tr>
        <w:tc>
          <w:tcPr>
            <w:tcW w:w="2200" w:type="dxa"/>
            <w:tcMar>
              <w:top w:w="120" w:type="dxa"/>
              <w:bottom w:w="120" w:type="dxa"/>
              <w:start w:w="120" w:type="dxa"/>
              <w:end w:w="120" w:type="dxa"/>
            </w:tcMar>
          </w:tcPr>
          <w:p>
            <w:r>
              <w:rPr>
                <w:b/>
                <w:sz w:val="21"/>
              </w:rPr>
              <w:t xml:space="preserve">Baseline RMSE</w:t>
            </w:r>
          </w:p>
        </w:tc>
        <w:tc>
          <w:tcPr>
            <w:tcW w:w="7160" w:type="dxa"/>
            <w:tcMar>
              <w:top w:w="120" w:type="dxa"/>
              <w:bottom w:w="120" w:type="dxa"/>
              <w:start w:w="120" w:type="dxa"/>
              <w:end w:w="120" w:type="dxa"/>
            </w:tcMar>
          </w:tcPr>
          <w:p>
            <w:r>
              <w:rPr>
                <w:sz w:val="21"/>
              </w:rPr>
              <w:t xml:space="preserve">Error from a simple comparison model, such as using recent seasonal values.</w:t>
            </w:r>
          </w:p>
        </w:tc>
      </w:tr>
    </w:tbl>
    <w:p>
      <w:r>
        <w:rPr/>
        <w:t xml:space="preserve">The forecast is more defensible when SARIMA performs better than the baseline model or when its error values are within an acceptable range for decision support.</w:t>
      </w:r>
    </w:p>
    <w:p>
      <w:pPr>
        <w:pStyle w:val="Heading1"/>
      </w:pPr>
      <w:r>
        <w:rPr/>
        <w:t xml:space="preserve">Forecast Range</w:t>
      </w:r>
    </w:p>
    <w:p>
      <w:r>
        <w:rPr/>
        <w:t xml:space="preserve">The analytics chart should not show only one forecast line. A single line can make the model look overly certain. HENalytics now includes a forecast range using lower and upper estimates. This range communicates uncertainty and makes the chart more honest.</w:t>
      </w:r>
    </w:p>
    <w:p>
      <w:pPr>
        <w:pStyle w:val="ListBullet"/>
      </w:pPr>
      <w:r>
        <w:rPr/>
        <w:t xml:space="preserve">Actual data: Solid line showing historical production.</w:t>
      </w:r>
    </w:p>
    <w:p>
      <w:pPr>
        <w:pStyle w:val="ListBullet"/>
      </w:pPr>
      <w:r>
        <w:rPr/>
        <w:t xml:space="preserve">Forecast data: Dashed line showing expected future production.</w:t>
      </w:r>
    </w:p>
    <w:p>
      <w:pPr>
        <w:pStyle w:val="ListBullet"/>
      </w:pPr>
      <w:r>
        <w:rPr/>
        <w:t xml:space="preserve">Forecast range: Shaded area showing possible lower and upper values.</w:t>
      </w:r>
    </w:p>
    <w:p>
      <w:pPr>
        <w:pStyle w:val="Heading1"/>
      </w:pPr>
      <w:r>
        <w:rPr/>
        <w:t xml:space="preserve">How to Explain Trustworthiness</w:t>
      </w:r>
    </w:p>
    <w:p>
      <w:r>
        <w:rPr/>
        <w:t xml:space="preserve">The forecast is trustworthy as a decision-support tool because it is based on historical records, prepared as a proper daily time series, tested through backtesting, compared with a simple baseline, and shown with error metrics and forecast ranges. However, it should not be presented as an exact guarantee because poultry production can still be affected by disease, feed changes, weather, flock condition, and other real-world factors.</w:t>
      </w:r>
    </w:p>
    <w:p>
      <w:pPr>
        <w:pStyle w:val="Heading1"/>
      </w:pPr>
      <w:r>
        <w:rPr/>
        <w:t xml:space="preserve">Limitations</w:t>
      </w:r>
    </w:p>
    <w:p>
      <w:pPr>
        <w:pStyle w:val="ListBullet"/>
      </w:pPr>
      <w:r>
        <w:rPr/>
        <w:t xml:space="preserve">The model depends on the quality and completeness of historical records.</w:t>
      </w:r>
    </w:p>
    <w:p>
      <w:pPr>
        <w:pStyle w:val="ListBullet"/>
      </w:pPr>
      <w:r>
        <w:rPr/>
        <w:t xml:space="preserve">Short-term forecasts are usually more reliable than long-term forecasts.</w:t>
      </w:r>
    </w:p>
    <w:p>
      <w:pPr>
        <w:pStyle w:val="ListBullet"/>
      </w:pPr>
      <w:r>
        <w:rPr/>
        <w:t xml:space="preserve">The model does not yet include external factors such as disease outbreaks, temperature, feed price changes, or weather.</w:t>
      </w:r>
    </w:p>
    <w:p>
      <w:pPr>
        <w:pStyle w:val="ListBullet"/>
      </w:pPr>
      <w:r>
        <w:rPr/>
        <w:t xml:space="preserve">Forecasts that collapse to unrealistic values should be flagged and reviewed before being used for decisions.</w:t>
      </w:r>
    </w:p>
    <w:p>
      <w:pPr>
        <w:pStyle w:val="Heading1"/>
      </w:pPr>
      <w:r>
        <w:rPr/>
        <w:t xml:space="preserve">Recommended Defense Statement</w:t>
      </w:r>
    </w:p>
    <w:p>
      <w:r>
        <w:rPr/>
        <w:t xml:space="preserve">You can say: The HENalytics forecasting module uses SARIMA-based time-series forecasting to estimate future egg production trends from historical daily records. The system prepares the data by grouping records by date and interpolating missing calendar days instead of treating them as zero production. The model is evaluated through backtesting using error metrics such as MAE, RMSE, and MAPE, and it is compared against a simple baseline model. The dashboard also presents actual data, forecasted values, and a forecast range to communicate uncertainty. Therefore, the forecast is used as a decision-support tool for planning and monitoring, not as a guaranteed exact prediction.</w:t>
      </w:r>
    </w:p>
    <w:p>
      <w:pPr>
        <w:pStyle w:val="Heading1"/>
      </w:pPr>
      <w:r>
        <w:rPr/>
        <w:t xml:space="preserve">Suggested Next Improvement</w:t>
      </w:r>
    </w:p>
    <w:p>
      <w:r>
        <w:rPr/>
        <w:t xml:space="preserve">The next recommended improvement is to add a forecast reliability badge. The system can label each forecast as Reliable, Use with Caution, or Not Reliable based on MAPE, baseline comparison, and whether the forecast suddenly collapses or spikes compared with recent actual production.</w:t>
      </w:r>
    </w:p>
    <w:p>
      <w:pPr>
        <w:pStyle w:val="Heading1"/>
      </w:pPr>
      <w:r>
        <w:rPr/>
        <w:t xml:space="preserve">Suggested Commit Message</w:t>
      </w:r>
    </w:p>
    <w:p>
      <w:r>
        <w:rPr/>
        <w:t xml:space="preserve">Add machine learning forecasting explanation document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rPr>
  </w:style>
  <w:style w:type="paragraph" w:styleId="Title">
    <w:name w:val="Title"/>
    <w:basedOn w:val="Normal"/>
    <w:qFormat/>
    <w:pPr>
      <w:spacing w:after="80"/>
    </w:pPr>
    <w:rPr>
      <w:rFonts w:ascii="Calibri" w:hAnsi="Calibri"/>
      <w:b/>
      <w:color w:val="2F5FD0"/>
      <w:sz w:val="38"/>
    </w:rPr>
  </w:style>
  <w:style w:type="paragraph" w:styleId="Subtitle">
    <w:name w:val="Subtitle"/>
    <w:basedOn w:val="Normal"/>
    <w:qFormat/>
    <w:pPr>
      <w:spacing w:after="240"/>
    </w:pPr>
    <w:rPr>
      <w:rFonts w:ascii="Calibri" w:hAnsi="Calibri"/>
      <w:color w:val="555555"/>
      <w:sz w:val="21"/>
    </w:rPr>
  </w:style>
  <w:style w:type="paragraph" w:styleId="Heading1">
    <w:name w:val="heading 1"/>
    <w:basedOn w:val="Normal"/>
    <w:qFormat/>
    <w:pPr>
      <w:keepNext/>
      <w:spacing w:before="240" w:after="120"/>
    </w:pPr>
    <w:rPr>
      <w:rFonts w:ascii="Calibri" w:hAnsi="Calibri"/>
      <w:b/>
      <w:color w:val="2E74B5"/>
      <w:sz w:val="30"/>
    </w:rPr>
  </w:style>
  <w:style w:type="paragraph" w:styleId="ListBullet">
    <w:name w:val="List Bullet"/>
    <w:basedOn w:val="Normal"/>
    <w:pPr>
      <w:ind w:left="72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