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F11B" w14:textId="77777777" w:rsidR="00712D2D" w:rsidRDefault="00712D2D" w:rsidP="00EF7F0C">
      <w:pPr>
        <w:pStyle w:val="Title"/>
      </w:pPr>
    </w:p>
    <w:p w14:paraId="1B3511D7" w14:textId="77777777" w:rsidR="00712D2D" w:rsidRDefault="00712D2D" w:rsidP="00EF7F0C">
      <w:pPr>
        <w:pStyle w:val="Title"/>
      </w:pPr>
    </w:p>
    <w:p w14:paraId="5FD86EED" w14:textId="77777777" w:rsidR="00712D2D" w:rsidRDefault="00712D2D" w:rsidP="00EF7F0C">
      <w:pPr>
        <w:pStyle w:val="Title"/>
      </w:pPr>
    </w:p>
    <w:p w14:paraId="495B25D4" w14:textId="77777777" w:rsidR="00712D2D" w:rsidRDefault="00712D2D" w:rsidP="00EF7F0C">
      <w:pPr>
        <w:pStyle w:val="Title"/>
      </w:pPr>
    </w:p>
    <w:p w14:paraId="18283131" w14:textId="77777777" w:rsidR="00712D2D" w:rsidRDefault="00712D2D" w:rsidP="00EF7F0C">
      <w:pPr>
        <w:pStyle w:val="Title"/>
      </w:pPr>
    </w:p>
    <w:p w14:paraId="1C94DACA" w14:textId="77777777" w:rsidR="00712D2D" w:rsidRDefault="00712D2D" w:rsidP="00EF7F0C">
      <w:pPr>
        <w:pStyle w:val="Title"/>
      </w:pPr>
    </w:p>
    <w:p w14:paraId="56B8A81A" w14:textId="77777777" w:rsidR="00712D2D" w:rsidRDefault="00712D2D" w:rsidP="00EF7F0C">
      <w:pPr>
        <w:pStyle w:val="Title"/>
      </w:pPr>
    </w:p>
    <w:p w14:paraId="300C675F" w14:textId="77777777" w:rsidR="00712D2D" w:rsidRDefault="00712D2D" w:rsidP="00EF7F0C">
      <w:pPr>
        <w:pStyle w:val="Title"/>
      </w:pPr>
    </w:p>
    <w:p w14:paraId="34E04127" w14:textId="77777777" w:rsidR="00712D2D" w:rsidRDefault="00712D2D" w:rsidP="00EF7F0C">
      <w:pPr>
        <w:pStyle w:val="Title"/>
      </w:pPr>
    </w:p>
    <w:p w14:paraId="4776D260" w14:textId="77777777" w:rsidR="00712D2D" w:rsidRDefault="00712D2D" w:rsidP="00EF7F0C">
      <w:pPr>
        <w:pStyle w:val="Title"/>
      </w:pPr>
    </w:p>
    <w:p w14:paraId="047A72F0" w14:textId="77777777" w:rsidR="00712D2D" w:rsidRDefault="00712D2D" w:rsidP="00EF7F0C">
      <w:pPr>
        <w:pStyle w:val="Title"/>
      </w:pPr>
    </w:p>
    <w:p w14:paraId="2D99ECB7" w14:textId="77777777" w:rsidR="00712D2D" w:rsidRDefault="00712D2D" w:rsidP="00EF7F0C">
      <w:pPr>
        <w:pStyle w:val="Title"/>
      </w:pPr>
    </w:p>
    <w:p w14:paraId="76AB072D" w14:textId="77777777" w:rsidR="00712D2D" w:rsidRDefault="00712D2D" w:rsidP="00EF7F0C">
      <w:pPr>
        <w:pStyle w:val="Title"/>
      </w:pPr>
    </w:p>
    <w:p w14:paraId="07436B6D" w14:textId="77777777" w:rsidR="00712D2D" w:rsidRDefault="00712D2D" w:rsidP="00EF7F0C">
      <w:pPr>
        <w:pStyle w:val="Title"/>
      </w:pPr>
    </w:p>
    <w:p w14:paraId="24724F71" w14:textId="1A3F3E3D" w:rsidR="00126621" w:rsidRDefault="00EF7F0C" w:rsidP="00EF7F0C">
      <w:pPr>
        <w:pStyle w:val="Title"/>
      </w:pPr>
      <w:r>
        <w:t>Covenant IQ – Business Requirements Document</w:t>
      </w:r>
    </w:p>
    <w:p w14:paraId="418C81B9" w14:textId="74663C62" w:rsidR="00EF7F0C" w:rsidRDefault="00EF7F0C" w:rsidP="00EF7F0C">
      <w:r>
        <w:t>Talal Alhawaj</w:t>
      </w:r>
    </w:p>
    <w:p w14:paraId="0024541E" w14:textId="77777777" w:rsidR="00712D2D" w:rsidRDefault="00712D2D" w:rsidP="00EF7F0C"/>
    <w:p w14:paraId="152896E4" w14:textId="77777777" w:rsidR="00712D2D" w:rsidRDefault="00712D2D" w:rsidP="00EF7F0C"/>
    <w:p w14:paraId="39E81C81" w14:textId="77777777" w:rsidR="00712D2D" w:rsidRDefault="00712D2D" w:rsidP="00EF7F0C"/>
    <w:sdt>
      <w:sdtPr>
        <w:id w:val="-10027335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0C76FB2" w14:textId="42276965" w:rsidR="00712D2D" w:rsidRDefault="00712D2D">
          <w:pPr>
            <w:pStyle w:val="TOCHeading"/>
          </w:pPr>
          <w:r>
            <w:t>Table of Contents</w:t>
          </w:r>
        </w:p>
        <w:p w14:paraId="4169A7E4" w14:textId="6A938025" w:rsidR="00712D2D" w:rsidRDefault="00712D2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831745" w:history="1">
            <w:r w:rsidRPr="002E22EE">
              <w:rPr>
                <w:rStyle w:val="Hyperlink"/>
                <w:b/>
                <w:bCs/>
                <w:smallCaps/>
                <w:noProof/>
                <w:spacing w:val="5"/>
              </w:rPr>
              <w:t>1. Executive Summary</w:t>
            </w:r>
            <w:r>
              <w:rPr>
                <w:noProof/>
                <w:webHidden/>
              </w:rPr>
              <w:tab/>
            </w:r>
            <w:r>
              <w:rPr>
                <w:noProof/>
                <w:webHidden/>
              </w:rPr>
              <w:fldChar w:fldCharType="begin"/>
            </w:r>
            <w:r>
              <w:rPr>
                <w:noProof/>
                <w:webHidden/>
              </w:rPr>
              <w:instrText xml:space="preserve"> PAGEREF _Toc222831745 \h </w:instrText>
            </w:r>
            <w:r>
              <w:rPr>
                <w:noProof/>
                <w:webHidden/>
              </w:rPr>
            </w:r>
            <w:r>
              <w:rPr>
                <w:noProof/>
                <w:webHidden/>
              </w:rPr>
              <w:fldChar w:fldCharType="separate"/>
            </w:r>
            <w:r>
              <w:rPr>
                <w:noProof/>
                <w:webHidden/>
              </w:rPr>
              <w:t>2</w:t>
            </w:r>
            <w:r>
              <w:rPr>
                <w:noProof/>
                <w:webHidden/>
              </w:rPr>
              <w:fldChar w:fldCharType="end"/>
            </w:r>
          </w:hyperlink>
        </w:p>
        <w:p w14:paraId="1E14B996" w14:textId="37A7F9D0" w:rsidR="00712D2D" w:rsidRDefault="00712D2D">
          <w:r>
            <w:rPr>
              <w:b/>
              <w:bCs/>
              <w:noProof/>
            </w:rPr>
            <w:fldChar w:fldCharType="end"/>
          </w:r>
        </w:p>
      </w:sdtContent>
    </w:sdt>
    <w:p w14:paraId="0A2620D0" w14:textId="3A7B21AB" w:rsidR="00712D2D" w:rsidRDefault="00712D2D"/>
    <w:p w14:paraId="330D3C47" w14:textId="77777777" w:rsidR="00EF7F0C" w:rsidRDefault="00EF7F0C" w:rsidP="00EF7F0C"/>
    <w:p w14:paraId="09E96BB2" w14:textId="77777777" w:rsidR="00EF7F0C" w:rsidRDefault="00EF7F0C" w:rsidP="00EF7F0C"/>
    <w:p w14:paraId="4C9574D7" w14:textId="77777777" w:rsidR="00712D2D" w:rsidRDefault="00712D2D" w:rsidP="00EF7F0C"/>
    <w:p w14:paraId="45A2566B" w14:textId="77777777" w:rsidR="00712D2D" w:rsidRDefault="00712D2D" w:rsidP="00EF7F0C"/>
    <w:p w14:paraId="17524762" w14:textId="77777777" w:rsidR="00712D2D" w:rsidRDefault="00712D2D" w:rsidP="00EF7F0C"/>
    <w:p w14:paraId="374546BF" w14:textId="77777777" w:rsidR="00712D2D" w:rsidRDefault="00712D2D" w:rsidP="00EF7F0C"/>
    <w:p w14:paraId="21DD1658" w14:textId="77777777" w:rsidR="00712D2D" w:rsidRDefault="00712D2D" w:rsidP="00EF7F0C"/>
    <w:p w14:paraId="24E0EE14" w14:textId="77777777" w:rsidR="00712D2D" w:rsidRDefault="00712D2D" w:rsidP="00EF7F0C"/>
    <w:p w14:paraId="7EABDF33" w14:textId="77777777" w:rsidR="00712D2D" w:rsidRDefault="00712D2D" w:rsidP="00EF7F0C"/>
    <w:p w14:paraId="2B48AE9D" w14:textId="77777777" w:rsidR="00712D2D" w:rsidRDefault="00712D2D" w:rsidP="00EF7F0C"/>
    <w:p w14:paraId="04A4CE51" w14:textId="77777777" w:rsidR="00712D2D" w:rsidRDefault="00712D2D" w:rsidP="00EF7F0C"/>
    <w:p w14:paraId="368F6AE6" w14:textId="77777777" w:rsidR="00712D2D" w:rsidRDefault="00712D2D" w:rsidP="00EF7F0C"/>
    <w:p w14:paraId="1811C8ED" w14:textId="77777777" w:rsidR="00712D2D" w:rsidRDefault="00712D2D" w:rsidP="00EF7F0C"/>
    <w:p w14:paraId="1EB0F5E8" w14:textId="77777777" w:rsidR="00712D2D" w:rsidRDefault="00712D2D" w:rsidP="00EF7F0C"/>
    <w:p w14:paraId="500FF179" w14:textId="77777777" w:rsidR="00712D2D" w:rsidRDefault="00712D2D" w:rsidP="00EF7F0C"/>
    <w:p w14:paraId="1F8A3CB5" w14:textId="77777777" w:rsidR="00712D2D" w:rsidRDefault="00712D2D" w:rsidP="00EF7F0C"/>
    <w:p w14:paraId="5B62F5ED" w14:textId="77777777" w:rsidR="00712D2D" w:rsidRDefault="00712D2D" w:rsidP="00EF7F0C"/>
    <w:p w14:paraId="6AF64D14" w14:textId="77777777" w:rsidR="00712D2D" w:rsidRDefault="00712D2D" w:rsidP="00EF7F0C"/>
    <w:p w14:paraId="6803028E" w14:textId="77777777" w:rsidR="00712D2D" w:rsidRDefault="00712D2D" w:rsidP="00EF7F0C"/>
    <w:p w14:paraId="6013C96E" w14:textId="77777777" w:rsidR="00712D2D" w:rsidRDefault="00712D2D" w:rsidP="00EF7F0C"/>
    <w:p w14:paraId="72700DF4" w14:textId="77777777" w:rsidR="00712D2D" w:rsidRPr="00712D2D" w:rsidRDefault="00712D2D" w:rsidP="00712D2D">
      <w:pPr>
        <w:pStyle w:val="Heading1"/>
        <w:rPr>
          <w:rStyle w:val="IntenseReference"/>
        </w:rPr>
      </w:pPr>
      <w:bookmarkStart w:id="0" w:name="_Toc222831427"/>
      <w:bookmarkStart w:id="1" w:name="_Toc222831745"/>
      <w:r w:rsidRPr="00712D2D">
        <w:rPr>
          <w:rStyle w:val="IntenseReference"/>
        </w:rPr>
        <w:lastRenderedPageBreak/>
        <w:t>1. Executive Summary</w:t>
      </w:r>
      <w:bookmarkEnd w:id="0"/>
      <w:bookmarkEnd w:id="1"/>
    </w:p>
    <w:p w14:paraId="4FD445B9" w14:textId="77777777" w:rsidR="00712D2D" w:rsidRPr="00306BDC" w:rsidRDefault="00712D2D" w:rsidP="00712D2D">
      <w:pPr>
        <w:rPr>
          <w:rFonts w:ascii="Arial" w:hAnsi="Arial" w:cs="Arial"/>
        </w:rPr>
      </w:pPr>
      <w:r w:rsidRPr="00306BDC">
        <w:rPr>
          <w:rFonts w:ascii="Arial" w:hAnsi="Arial" w:cs="Arial"/>
        </w:rPr>
        <w:t>CovenantIQ is a commercial loan risk surveillance platform designed to automate covenant compliance monitoring and detect early warning indicators of borrower financial deterioration.</w:t>
      </w:r>
    </w:p>
    <w:p w14:paraId="1D839C42" w14:textId="77777777" w:rsidR="00712D2D" w:rsidRPr="00306BDC" w:rsidRDefault="00712D2D" w:rsidP="00712D2D">
      <w:pPr>
        <w:rPr>
          <w:rFonts w:ascii="Arial" w:hAnsi="Arial" w:cs="Arial"/>
        </w:rPr>
      </w:pPr>
      <w:r w:rsidRPr="00306BDC">
        <w:rPr>
          <w:rFonts w:ascii="Arial" w:hAnsi="Arial" w:cs="Arial"/>
        </w:rPr>
        <w:t>The system enables financial analysts and risk lead</w:t>
      </w:r>
      <w:r w:rsidRPr="00712D2D">
        <w:rPr>
          <w:rFonts w:ascii="Arial" w:hAnsi="Arial" w:cs="Arial"/>
        </w:rPr>
        <w:t>er</w:t>
      </w:r>
      <w:r w:rsidRPr="00306BDC">
        <w:rPr>
          <w:rFonts w:ascii="Arial" w:hAnsi="Arial" w:cs="Arial"/>
        </w:rPr>
        <w:t>s to evaluate borrower financial performance, identify covenant breaches, and monitor portfolio-level exposure in a centralized, auditable environment.</w:t>
      </w:r>
    </w:p>
    <w:p w14:paraId="5D0E3F7B" w14:textId="77777777" w:rsidR="00712D2D" w:rsidRDefault="00712D2D" w:rsidP="00712D2D">
      <w:pPr>
        <w:rPr>
          <w:rFonts w:ascii="Arial" w:hAnsi="Arial" w:cs="Arial"/>
        </w:rPr>
      </w:pPr>
      <w:r w:rsidRPr="00306BDC">
        <w:rPr>
          <w:rFonts w:ascii="Arial" w:hAnsi="Arial" w:cs="Arial"/>
        </w:rPr>
        <w:t>CovenantIQ reduces manual review effort, improves early risk detection, enhances governance transparency, and provides a scalable foundation for enterprise risk management expansion.</w:t>
      </w:r>
    </w:p>
    <w:p w14:paraId="7A977FAB" w14:textId="77777777" w:rsidR="00712D2D" w:rsidRDefault="00712D2D" w:rsidP="00712D2D">
      <w:pPr>
        <w:rPr>
          <w:rFonts w:ascii="Arial" w:hAnsi="Arial" w:cs="Arial"/>
        </w:rPr>
      </w:pPr>
    </w:p>
    <w:p w14:paraId="0538DC1E" w14:textId="77777777" w:rsidR="00712D2D" w:rsidRDefault="00712D2D" w:rsidP="00712D2D">
      <w:pPr>
        <w:rPr>
          <w:rFonts w:ascii="Arial" w:hAnsi="Arial" w:cs="Arial"/>
        </w:rPr>
      </w:pPr>
    </w:p>
    <w:p w14:paraId="34F6E4A3" w14:textId="6EBA2DE8" w:rsidR="00712D2D" w:rsidRDefault="00712D2D" w:rsidP="00712D2D">
      <w:pPr>
        <w:rPr>
          <w:rStyle w:val="IntenseReference"/>
          <w:rFonts w:asciiTheme="majorHAnsi" w:hAnsiTheme="majorHAnsi"/>
          <w:sz w:val="40"/>
          <w:szCs w:val="40"/>
        </w:rPr>
      </w:pPr>
      <w:r w:rsidRPr="00712D2D">
        <w:rPr>
          <w:rStyle w:val="IntenseReference"/>
          <w:rFonts w:asciiTheme="majorHAnsi" w:hAnsiTheme="majorHAnsi"/>
          <w:sz w:val="40"/>
          <w:szCs w:val="40"/>
        </w:rPr>
        <w:t>2. Business Problem Statement</w:t>
      </w:r>
    </w:p>
    <w:p w14:paraId="62C5918E" w14:textId="77777777" w:rsidR="00712D2D" w:rsidRPr="00712D2D" w:rsidRDefault="00712D2D" w:rsidP="00712D2D">
      <w:pPr>
        <w:rPr>
          <w:rFonts w:ascii="Arial" w:hAnsi="Arial" w:cs="Arial"/>
        </w:rPr>
      </w:pPr>
      <w:r w:rsidRPr="00712D2D">
        <w:rPr>
          <w:rFonts w:ascii="Arial" w:hAnsi="Arial" w:cs="Arial"/>
        </w:rPr>
        <w:t>Commercial banks extend loans to business clients under agreements that include financial covenants. These covenants require ongoing monitoring to ensure borrowers remain financially compliant.</w:t>
      </w:r>
    </w:p>
    <w:p w14:paraId="506DD4A5" w14:textId="77777777" w:rsidR="00712D2D" w:rsidRPr="00712D2D" w:rsidRDefault="00712D2D" w:rsidP="00712D2D">
      <w:pPr>
        <w:rPr>
          <w:rFonts w:ascii="Arial" w:hAnsi="Arial" w:cs="Arial"/>
        </w:rPr>
      </w:pPr>
      <w:r w:rsidRPr="00712D2D">
        <w:rPr>
          <w:rFonts w:ascii="Arial" w:hAnsi="Arial" w:cs="Arial"/>
        </w:rPr>
        <w:t>In many institutions, this monitoring process remains heavily manual. Analysts rely on spreadsheets, periodic reviews, and fragmented tracking methods. As a result, covenant assessments may be delayed, inconsistently interpreted, or limited to isolated loan views without meaningful trend analysis.</w:t>
      </w:r>
    </w:p>
    <w:p w14:paraId="2083928A" w14:textId="77777777" w:rsidR="00712D2D" w:rsidRPr="00712D2D" w:rsidRDefault="00712D2D" w:rsidP="00712D2D">
      <w:pPr>
        <w:rPr>
          <w:rFonts w:ascii="Arial" w:hAnsi="Arial" w:cs="Arial"/>
        </w:rPr>
      </w:pPr>
      <w:r w:rsidRPr="00712D2D">
        <w:rPr>
          <w:rFonts w:ascii="Arial" w:hAnsi="Arial" w:cs="Arial"/>
        </w:rPr>
        <w:t>This operational approach creates tangible risks:</w:t>
      </w:r>
    </w:p>
    <w:p w14:paraId="72996E61" w14:textId="77777777" w:rsidR="00712D2D" w:rsidRPr="00712D2D" w:rsidRDefault="00712D2D" w:rsidP="00712D2D">
      <w:pPr>
        <w:numPr>
          <w:ilvl w:val="0"/>
          <w:numId w:val="1"/>
        </w:numPr>
        <w:rPr>
          <w:rFonts w:ascii="Arial" w:hAnsi="Arial" w:cs="Arial"/>
        </w:rPr>
      </w:pPr>
      <w:r w:rsidRPr="00712D2D">
        <w:rPr>
          <w:rFonts w:ascii="Arial" w:hAnsi="Arial" w:cs="Arial"/>
        </w:rPr>
        <w:t>Financial deterioration may not be detected early.</w:t>
      </w:r>
    </w:p>
    <w:p w14:paraId="032C6C90" w14:textId="77777777" w:rsidR="00712D2D" w:rsidRPr="00712D2D" w:rsidRDefault="00712D2D" w:rsidP="00712D2D">
      <w:pPr>
        <w:numPr>
          <w:ilvl w:val="0"/>
          <w:numId w:val="1"/>
        </w:numPr>
        <w:rPr>
          <w:rFonts w:ascii="Arial" w:hAnsi="Arial" w:cs="Arial"/>
        </w:rPr>
      </w:pPr>
      <w:r w:rsidRPr="00712D2D">
        <w:rPr>
          <w:rFonts w:ascii="Arial" w:hAnsi="Arial" w:cs="Arial"/>
        </w:rPr>
        <w:t>Credit exposure can increase before corrective action is taken.</w:t>
      </w:r>
    </w:p>
    <w:p w14:paraId="5A4D8463" w14:textId="77777777" w:rsidR="00712D2D" w:rsidRPr="00712D2D" w:rsidRDefault="00712D2D" w:rsidP="00712D2D">
      <w:pPr>
        <w:numPr>
          <w:ilvl w:val="0"/>
          <w:numId w:val="1"/>
        </w:numPr>
        <w:rPr>
          <w:rFonts w:ascii="Arial" w:hAnsi="Arial" w:cs="Arial"/>
        </w:rPr>
      </w:pPr>
      <w:r w:rsidRPr="00712D2D">
        <w:rPr>
          <w:rFonts w:ascii="Arial" w:hAnsi="Arial" w:cs="Arial"/>
        </w:rPr>
        <w:t>Analyst productivity is reduced by repetitive manual work.</w:t>
      </w:r>
    </w:p>
    <w:p w14:paraId="6ADCAD05" w14:textId="77777777" w:rsidR="00712D2D" w:rsidRPr="00712D2D" w:rsidRDefault="00712D2D" w:rsidP="00712D2D">
      <w:pPr>
        <w:numPr>
          <w:ilvl w:val="0"/>
          <w:numId w:val="1"/>
        </w:numPr>
        <w:rPr>
          <w:rFonts w:ascii="Arial" w:hAnsi="Arial" w:cs="Arial"/>
        </w:rPr>
      </w:pPr>
      <w:r w:rsidRPr="00712D2D">
        <w:rPr>
          <w:rFonts w:ascii="Arial" w:hAnsi="Arial" w:cs="Arial"/>
        </w:rPr>
        <w:t>Portfolio-wide risk patterns remain difficult to identify.</w:t>
      </w:r>
    </w:p>
    <w:p w14:paraId="2EE68E9B" w14:textId="77777777" w:rsidR="00712D2D" w:rsidRPr="00712D2D" w:rsidRDefault="00712D2D" w:rsidP="00712D2D">
      <w:pPr>
        <w:rPr>
          <w:rFonts w:ascii="Arial" w:hAnsi="Arial" w:cs="Arial"/>
        </w:rPr>
      </w:pPr>
      <w:r w:rsidRPr="00712D2D">
        <w:rPr>
          <w:rFonts w:ascii="Arial" w:hAnsi="Arial" w:cs="Arial"/>
        </w:rPr>
        <w:t>To address these challenges, the organization requires a centralized and automated covenant monitoring system that enables consistent evaluation, timely alerting, and proactive risk management.</w:t>
      </w:r>
    </w:p>
    <w:p w14:paraId="45D52C79" w14:textId="77777777" w:rsidR="00712D2D" w:rsidRPr="00306BDC" w:rsidRDefault="00712D2D" w:rsidP="00712D2D">
      <w:pPr>
        <w:rPr>
          <w:rStyle w:val="IntenseReference"/>
          <w:rFonts w:ascii="Arial" w:hAnsi="Arial" w:cs="Arial"/>
          <w:b w:val="0"/>
          <w:bCs w:val="0"/>
        </w:rPr>
      </w:pPr>
    </w:p>
    <w:p w14:paraId="6B3FE5C4" w14:textId="5B6C8A4B" w:rsidR="00712D2D" w:rsidRDefault="00712D2D" w:rsidP="00EF7F0C"/>
    <w:p w14:paraId="67A80367" w14:textId="081DC5F5" w:rsidR="00EF061A" w:rsidRDefault="00EF061A" w:rsidP="00EF7F0C">
      <w:pPr>
        <w:rPr>
          <w:rStyle w:val="IntenseReference"/>
          <w:rFonts w:asciiTheme="majorHAnsi" w:hAnsiTheme="majorHAnsi"/>
          <w:sz w:val="40"/>
          <w:szCs w:val="40"/>
        </w:rPr>
      </w:pPr>
      <w:r w:rsidRPr="00EF061A">
        <w:rPr>
          <w:rStyle w:val="IntenseReference"/>
          <w:rFonts w:asciiTheme="majorHAnsi" w:hAnsiTheme="majorHAnsi"/>
          <w:sz w:val="40"/>
          <w:szCs w:val="40"/>
        </w:rPr>
        <w:lastRenderedPageBreak/>
        <w:t>3. Business Objectives</w:t>
      </w:r>
    </w:p>
    <w:p w14:paraId="7945A642" w14:textId="77777777" w:rsidR="00EF061A" w:rsidRPr="00EF061A" w:rsidRDefault="00EF061A" w:rsidP="00EF061A">
      <w:pPr>
        <w:rPr>
          <w:rFonts w:ascii="Arial" w:hAnsi="Arial" w:cs="Arial"/>
        </w:rPr>
      </w:pPr>
      <w:r w:rsidRPr="00EF061A">
        <w:rPr>
          <w:rFonts w:ascii="Arial" w:hAnsi="Arial" w:cs="Arial"/>
        </w:rPr>
        <w:t>The objectives of CovenantIQ are to:</w:t>
      </w:r>
    </w:p>
    <w:p w14:paraId="00082705" w14:textId="77777777" w:rsidR="00EF061A" w:rsidRPr="00EF061A" w:rsidRDefault="00EF061A" w:rsidP="00DF56BE">
      <w:pPr>
        <w:numPr>
          <w:ilvl w:val="0"/>
          <w:numId w:val="3"/>
        </w:numPr>
        <w:rPr>
          <w:rFonts w:ascii="Arial" w:hAnsi="Arial" w:cs="Arial"/>
        </w:rPr>
      </w:pPr>
      <w:r w:rsidRPr="00EF061A">
        <w:rPr>
          <w:rFonts w:ascii="Arial" w:hAnsi="Arial" w:cs="Arial"/>
        </w:rPr>
        <w:t>Eliminate manual covenant monitoring by automating financial ratio calculation and compliance evaluation upon financial statement submission.</w:t>
      </w:r>
    </w:p>
    <w:p w14:paraId="53CD93CD" w14:textId="77777777" w:rsidR="00EF061A" w:rsidRPr="00EF061A" w:rsidRDefault="00EF061A" w:rsidP="00DF56BE">
      <w:pPr>
        <w:numPr>
          <w:ilvl w:val="0"/>
          <w:numId w:val="3"/>
        </w:numPr>
        <w:rPr>
          <w:rFonts w:ascii="Arial" w:hAnsi="Arial" w:cs="Arial"/>
        </w:rPr>
      </w:pPr>
      <w:r w:rsidRPr="00EF061A">
        <w:rPr>
          <w:rFonts w:ascii="Arial" w:hAnsi="Arial" w:cs="Arial"/>
        </w:rPr>
        <w:t>Reduce time-to-detection of covenant breaches and financial deterioration by generating real-time alerts and early warning indicators.</w:t>
      </w:r>
    </w:p>
    <w:p w14:paraId="10AC0707" w14:textId="77777777" w:rsidR="00EF061A" w:rsidRPr="00EF061A" w:rsidRDefault="00EF061A" w:rsidP="00DF56BE">
      <w:pPr>
        <w:numPr>
          <w:ilvl w:val="0"/>
          <w:numId w:val="3"/>
        </w:numPr>
        <w:rPr>
          <w:rFonts w:ascii="Arial" w:hAnsi="Arial" w:cs="Arial"/>
        </w:rPr>
      </w:pPr>
      <w:r w:rsidRPr="00EF061A">
        <w:rPr>
          <w:rFonts w:ascii="Arial" w:hAnsi="Arial" w:cs="Arial"/>
        </w:rPr>
        <w:t>Provide consolidated loan-level and portfolio-level risk visibility to support timely credit risk decision-making.</w:t>
      </w:r>
    </w:p>
    <w:p w14:paraId="329659B5" w14:textId="77777777" w:rsidR="00EF061A" w:rsidRPr="00EF061A" w:rsidRDefault="00EF061A" w:rsidP="00DF56BE">
      <w:pPr>
        <w:numPr>
          <w:ilvl w:val="0"/>
          <w:numId w:val="3"/>
        </w:numPr>
        <w:rPr>
          <w:rFonts w:ascii="Arial" w:hAnsi="Arial" w:cs="Arial"/>
        </w:rPr>
      </w:pPr>
      <w:r w:rsidRPr="00EF061A">
        <w:rPr>
          <w:rFonts w:ascii="Arial" w:hAnsi="Arial" w:cs="Arial"/>
        </w:rPr>
        <w:t>Improve operational efficiency by reducing repetitive spreadsheet-based analysis and standardizing covenant evaluation logic.</w:t>
      </w:r>
    </w:p>
    <w:p w14:paraId="4CFC3724" w14:textId="77777777" w:rsidR="00EF061A" w:rsidRDefault="00EF061A" w:rsidP="00DF56BE">
      <w:pPr>
        <w:numPr>
          <w:ilvl w:val="0"/>
          <w:numId w:val="3"/>
        </w:numPr>
        <w:rPr>
          <w:rFonts w:ascii="Arial" w:hAnsi="Arial" w:cs="Arial"/>
        </w:rPr>
      </w:pPr>
      <w:r w:rsidRPr="00EF061A">
        <w:rPr>
          <w:rFonts w:ascii="Arial" w:hAnsi="Arial" w:cs="Arial"/>
        </w:rPr>
        <w:t>Strengthen governance and auditability by maintaining structured alert tracking, historical evaluation records, and user activity logs.</w:t>
      </w:r>
    </w:p>
    <w:p w14:paraId="497EE94B" w14:textId="77777777" w:rsidR="00EF061A" w:rsidRDefault="00EF061A" w:rsidP="00EF061A">
      <w:pPr>
        <w:rPr>
          <w:rFonts w:ascii="Arial" w:hAnsi="Arial" w:cs="Arial"/>
        </w:rPr>
      </w:pPr>
    </w:p>
    <w:p w14:paraId="42633AFE" w14:textId="77777777" w:rsidR="00EF061A" w:rsidRDefault="00EF061A" w:rsidP="00EF061A">
      <w:pPr>
        <w:rPr>
          <w:rFonts w:ascii="Arial" w:hAnsi="Arial" w:cs="Arial"/>
        </w:rPr>
      </w:pPr>
    </w:p>
    <w:p w14:paraId="7F3C3D70" w14:textId="631FEDF9" w:rsidR="00C14F23" w:rsidRDefault="00C14F23" w:rsidP="0050492F">
      <w:pPr>
        <w:rPr>
          <w:rStyle w:val="IntenseReference"/>
          <w:rFonts w:asciiTheme="majorHAnsi" w:hAnsiTheme="majorHAnsi"/>
          <w:sz w:val="40"/>
          <w:szCs w:val="40"/>
        </w:rPr>
      </w:pPr>
      <w:r w:rsidRPr="00C14F23">
        <w:rPr>
          <w:rStyle w:val="IntenseReference"/>
          <w:rFonts w:asciiTheme="majorHAnsi" w:hAnsiTheme="majorHAnsi"/>
          <w:sz w:val="40"/>
          <w:szCs w:val="40"/>
        </w:rPr>
        <w:t>4. Stakeholders</w:t>
      </w:r>
    </w:p>
    <w:p w14:paraId="3FD80E19" w14:textId="1014DFD5" w:rsidR="00C14F23" w:rsidRPr="0050492F" w:rsidRDefault="0050492F" w:rsidP="0050492F">
      <w:pPr>
        <w:rPr>
          <w:rStyle w:val="IntenseReference"/>
          <w:rFonts w:ascii="Arial" w:hAnsi="Arial" w:cs="Arial"/>
          <w:b w:val="0"/>
          <w:bCs w:val="0"/>
        </w:rPr>
      </w:pPr>
      <w:r w:rsidRPr="0050492F">
        <w:rPr>
          <w:rFonts w:ascii="Arial" w:hAnsi="Arial" w:cs="Arial"/>
        </w:rPr>
        <w:t>The identified stakeholders represent the operational, governance, technical, and strategic layers of commercial credit risk management impacted by CovenantIQ.</w:t>
      </w:r>
    </w:p>
    <w:tbl>
      <w:tblPr>
        <w:tblStyle w:val="TableGrid"/>
        <w:tblW w:w="0" w:type="auto"/>
        <w:tblLook w:val="04A0" w:firstRow="1" w:lastRow="0" w:firstColumn="1" w:lastColumn="0" w:noHBand="0" w:noVBand="1"/>
      </w:tblPr>
      <w:tblGrid>
        <w:gridCol w:w="2725"/>
        <w:gridCol w:w="2204"/>
        <w:gridCol w:w="4045"/>
      </w:tblGrid>
      <w:tr w:rsidR="00C14F23" w:rsidRPr="00306BDC" w14:paraId="35699E25" w14:textId="77777777" w:rsidTr="000D7956">
        <w:tc>
          <w:tcPr>
            <w:tcW w:w="0" w:type="auto"/>
            <w:hideMark/>
          </w:tcPr>
          <w:p w14:paraId="185E4111" w14:textId="77777777" w:rsidR="00C14F23" w:rsidRPr="00306BDC" w:rsidRDefault="00C14F23" w:rsidP="000D7956">
            <w:pPr>
              <w:spacing w:after="160" w:line="278" w:lineRule="auto"/>
              <w:rPr>
                <w:rFonts w:ascii="Arial" w:hAnsi="Arial" w:cs="Arial"/>
                <w:b/>
                <w:bCs/>
              </w:rPr>
            </w:pPr>
            <w:r w:rsidRPr="00306BDC">
              <w:rPr>
                <w:rFonts w:ascii="Arial" w:hAnsi="Arial" w:cs="Arial"/>
                <w:b/>
                <w:bCs/>
              </w:rPr>
              <w:t>Stakeholder</w:t>
            </w:r>
          </w:p>
        </w:tc>
        <w:tc>
          <w:tcPr>
            <w:tcW w:w="0" w:type="auto"/>
            <w:hideMark/>
          </w:tcPr>
          <w:p w14:paraId="72F2D7DA" w14:textId="77777777" w:rsidR="00C14F23" w:rsidRPr="00306BDC" w:rsidRDefault="00C14F23" w:rsidP="000D7956">
            <w:pPr>
              <w:spacing w:after="160" w:line="278" w:lineRule="auto"/>
              <w:rPr>
                <w:rFonts w:ascii="Arial" w:hAnsi="Arial" w:cs="Arial"/>
                <w:b/>
                <w:bCs/>
              </w:rPr>
            </w:pPr>
            <w:r w:rsidRPr="00306BDC">
              <w:rPr>
                <w:rFonts w:ascii="Arial" w:hAnsi="Arial" w:cs="Arial"/>
                <w:b/>
                <w:bCs/>
              </w:rPr>
              <w:t>Role</w:t>
            </w:r>
          </w:p>
        </w:tc>
        <w:tc>
          <w:tcPr>
            <w:tcW w:w="0" w:type="auto"/>
            <w:hideMark/>
          </w:tcPr>
          <w:p w14:paraId="694FCC9D" w14:textId="77777777" w:rsidR="00C14F23" w:rsidRPr="00306BDC" w:rsidRDefault="00C14F23" w:rsidP="000D7956">
            <w:pPr>
              <w:spacing w:after="160" w:line="278" w:lineRule="auto"/>
              <w:rPr>
                <w:rFonts w:ascii="Arial" w:hAnsi="Arial" w:cs="Arial"/>
                <w:b/>
                <w:bCs/>
              </w:rPr>
            </w:pPr>
            <w:r w:rsidRPr="00306BDC">
              <w:rPr>
                <w:rFonts w:ascii="Arial" w:hAnsi="Arial" w:cs="Arial"/>
                <w:b/>
                <w:bCs/>
              </w:rPr>
              <w:t>Interest</w:t>
            </w:r>
          </w:p>
        </w:tc>
      </w:tr>
      <w:tr w:rsidR="00C14F23" w:rsidRPr="00306BDC" w14:paraId="37A6E968" w14:textId="77777777" w:rsidTr="000D7956">
        <w:tc>
          <w:tcPr>
            <w:tcW w:w="0" w:type="auto"/>
            <w:hideMark/>
          </w:tcPr>
          <w:p w14:paraId="2FE4B5A1" w14:textId="77777777" w:rsidR="00C14F23" w:rsidRPr="00306BDC" w:rsidRDefault="00C14F23" w:rsidP="000D7956">
            <w:pPr>
              <w:spacing w:after="160" w:line="278" w:lineRule="auto"/>
              <w:rPr>
                <w:rFonts w:ascii="Arial" w:hAnsi="Arial" w:cs="Arial"/>
              </w:rPr>
            </w:pPr>
            <w:r w:rsidRPr="00306BDC">
              <w:rPr>
                <w:rFonts w:ascii="Arial" w:hAnsi="Arial" w:cs="Arial"/>
              </w:rPr>
              <w:t>Financial Analyst</w:t>
            </w:r>
          </w:p>
        </w:tc>
        <w:tc>
          <w:tcPr>
            <w:tcW w:w="0" w:type="auto"/>
            <w:hideMark/>
          </w:tcPr>
          <w:p w14:paraId="7418A033" w14:textId="77777777" w:rsidR="00C14F23" w:rsidRPr="00306BDC" w:rsidRDefault="00C14F23" w:rsidP="000D7956">
            <w:pPr>
              <w:spacing w:after="160" w:line="278" w:lineRule="auto"/>
              <w:rPr>
                <w:rFonts w:ascii="Arial" w:hAnsi="Arial" w:cs="Arial"/>
              </w:rPr>
            </w:pPr>
            <w:r w:rsidRPr="00306BDC">
              <w:rPr>
                <w:rFonts w:ascii="Arial" w:hAnsi="Arial" w:cs="Arial"/>
              </w:rPr>
              <w:t>Primary user</w:t>
            </w:r>
          </w:p>
        </w:tc>
        <w:tc>
          <w:tcPr>
            <w:tcW w:w="0" w:type="auto"/>
            <w:hideMark/>
          </w:tcPr>
          <w:p w14:paraId="6FC6C600" w14:textId="77777777" w:rsidR="00C14F23" w:rsidRPr="00306BDC" w:rsidRDefault="00C14F23" w:rsidP="000D7956">
            <w:pPr>
              <w:spacing w:after="160" w:line="278" w:lineRule="auto"/>
              <w:rPr>
                <w:rFonts w:ascii="Arial" w:hAnsi="Arial" w:cs="Arial"/>
              </w:rPr>
            </w:pPr>
            <w:r w:rsidRPr="00306BDC">
              <w:rPr>
                <w:rFonts w:ascii="Arial" w:hAnsi="Arial" w:cs="Arial"/>
              </w:rPr>
              <w:t>Monitor covenant compliance</w:t>
            </w:r>
          </w:p>
        </w:tc>
      </w:tr>
      <w:tr w:rsidR="00C14F23" w:rsidRPr="00306BDC" w14:paraId="550A2BD0" w14:textId="77777777" w:rsidTr="000D7956">
        <w:tc>
          <w:tcPr>
            <w:tcW w:w="0" w:type="auto"/>
            <w:hideMark/>
          </w:tcPr>
          <w:p w14:paraId="19551AEB" w14:textId="77777777" w:rsidR="00C14F23" w:rsidRPr="00306BDC" w:rsidRDefault="00C14F23" w:rsidP="000D7956">
            <w:pPr>
              <w:spacing w:after="160" w:line="278" w:lineRule="auto"/>
              <w:rPr>
                <w:rFonts w:ascii="Arial" w:hAnsi="Arial" w:cs="Arial"/>
              </w:rPr>
            </w:pPr>
            <w:r w:rsidRPr="00306BDC">
              <w:rPr>
                <w:rFonts w:ascii="Arial" w:hAnsi="Arial" w:cs="Arial"/>
              </w:rPr>
              <w:t>Risk Lead</w:t>
            </w:r>
          </w:p>
        </w:tc>
        <w:tc>
          <w:tcPr>
            <w:tcW w:w="0" w:type="auto"/>
            <w:hideMark/>
          </w:tcPr>
          <w:p w14:paraId="70F65E91" w14:textId="77777777" w:rsidR="00C14F23" w:rsidRPr="00306BDC" w:rsidRDefault="00C14F23" w:rsidP="000D7956">
            <w:pPr>
              <w:spacing w:after="160" w:line="278" w:lineRule="auto"/>
              <w:rPr>
                <w:rFonts w:ascii="Arial" w:hAnsi="Arial" w:cs="Arial"/>
              </w:rPr>
            </w:pPr>
            <w:r w:rsidRPr="00306BDC">
              <w:rPr>
                <w:rFonts w:ascii="Arial" w:hAnsi="Arial" w:cs="Arial"/>
              </w:rPr>
              <w:t>Oversight role</w:t>
            </w:r>
          </w:p>
        </w:tc>
        <w:tc>
          <w:tcPr>
            <w:tcW w:w="0" w:type="auto"/>
            <w:hideMark/>
          </w:tcPr>
          <w:p w14:paraId="3696DF88" w14:textId="77777777" w:rsidR="00C14F23" w:rsidRPr="00306BDC" w:rsidRDefault="00C14F23" w:rsidP="000D7956">
            <w:pPr>
              <w:spacing w:after="160" w:line="278" w:lineRule="auto"/>
              <w:rPr>
                <w:rFonts w:ascii="Arial" w:hAnsi="Arial" w:cs="Arial"/>
              </w:rPr>
            </w:pPr>
            <w:r w:rsidRPr="00306BDC">
              <w:rPr>
                <w:rFonts w:ascii="Arial" w:hAnsi="Arial" w:cs="Arial"/>
              </w:rPr>
              <w:t>Portfolio-level risk management</w:t>
            </w:r>
          </w:p>
        </w:tc>
      </w:tr>
      <w:tr w:rsidR="00C14F23" w:rsidRPr="00306BDC" w14:paraId="1D8D9B5D" w14:textId="77777777" w:rsidTr="000D7956">
        <w:tc>
          <w:tcPr>
            <w:tcW w:w="0" w:type="auto"/>
            <w:hideMark/>
          </w:tcPr>
          <w:p w14:paraId="023FA860" w14:textId="77777777" w:rsidR="00C14F23" w:rsidRPr="00306BDC" w:rsidRDefault="00C14F23" w:rsidP="000D7956">
            <w:pPr>
              <w:spacing w:after="160" w:line="278" w:lineRule="auto"/>
              <w:rPr>
                <w:rFonts w:ascii="Arial" w:hAnsi="Arial" w:cs="Arial"/>
              </w:rPr>
            </w:pPr>
            <w:r w:rsidRPr="00306BDC">
              <w:rPr>
                <w:rFonts w:ascii="Arial" w:hAnsi="Arial" w:cs="Arial"/>
              </w:rPr>
              <w:t>System Administrator</w:t>
            </w:r>
          </w:p>
        </w:tc>
        <w:tc>
          <w:tcPr>
            <w:tcW w:w="0" w:type="auto"/>
            <w:hideMark/>
          </w:tcPr>
          <w:p w14:paraId="5F2B2E3C" w14:textId="77777777" w:rsidR="00C14F23" w:rsidRPr="00306BDC" w:rsidRDefault="00C14F23" w:rsidP="000D7956">
            <w:pPr>
              <w:spacing w:after="160" w:line="278" w:lineRule="auto"/>
              <w:rPr>
                <w:rFonts w:ascii="Arial" w:hAnsi="Arial" w:cs="Arial"/>
              </w:rPr>
            </w:pPr>
            <w:r w:rsidRPr="00306BDC">
              <w:rPr>
                <w:rFonts w:ascii="Arial" w:hAnsi="Arial" w:cs="Arial"/>
              </w:rPr>
              <w:t>Governance</w:t>
            </w:r>
          </w:p>
        </w:tc>
        <w:tc>
          <w:tcPr>
            <w:tcW w:w="0" w:type="auto"/>
            <w:hideMark/>
          </w:tcPr>
          <w:p w14:paraId="169998F5" w14:textId="77777777" w:rsidR="00C14F23" w:rsidRPr="00306BDC" w:rsidRDefault="00C14F23" w:rsidP="000D7956">
            <w:pPr>
              <w:spacing w:after="160" w:line="278" w:lineRule="auto"/>
              <w:rPr>
                <w:rFonts w:ascii="Arial" w:hAnsi="Arial" w:cs="Arial"/>
              </w:rPr>
            </w:pPr>
            <w:r w:rsidRPr="00306BDC">
              <w:rPr>
                <w:rFonts w:ascii="Arial" w:hAnsi="Arial" w:cs="Arial"/>
              </w:rPr>
              <w:t>Manage access control and security</w:t>
            </w:r>
          </w:p>
        </w:tc>
      </w:tr>
      <w:tr w:rsidR="00C14F23" w:rsidRPr="00306BDC" w14:paraId="5C85860F" w14:textId="77777777" w:rsidTr="000D7956">
        <w:tc>
          <w:tcPr>
            <w:tcW w:w="0" w:type="auto"/>
            <w:hideMark/>
          </w:tcPr>
          <w:p w14:paraId="5C8E06A4" w14:textId="77777777" w:rsidR="00C14F23" w:rsidRPr="00306BDC" w:rsidRDefault="00C14F23" w:rsidP="000D7956">
            <w:pPr>
              <w:spacing w:after="160" w:line="278" w:lineRule="auto"/>
              <w:rPr>
                <w:rFonts w:ascii="Arial" w:hAnsi="Arial" w:cs="Arial"/>
              </w:rPr>
            </w:pPr>
            <w:r w:rsidRPr="00306BDC">
              <w:rPr>
                <w:rFonts w:ascii="Arial" w:hAnsi="Arial" w:cs="Arial"/>
              </w:rPr>
              <w:t>Engineering Team</w:t>
            </w:r>
          </w:p>
        </w:tc>
        <w:tc>
          <w:tcPr>
            <w:tcW w:w="0" w:type="auto"/>
            <w:hideMark/>
          </w:tcPr>
          <w:p w14:paraId="4FA1A2D6" w14:textId="77777777" w:rsidR="00C14F23" w:rsidRPr="00306BDC" w:rsidRDefault="00C14F23" w:rsidP="000D7956">
            <w:pPr>
              <w:spacing w:after="160" w:line="278" w:lineRule="auto"/>
              <w:rPr>
                <w:rFonts w:ascii="Arial" w:hAnsi="Arial" w:cs="Arial"/>
              </w:rPr>
            </w:pPr>
            <w:r w:rsidRPr="00306BDC">
              <w:rPr>
                <w:rFonts w:ascii="Arial" w:hAnsi="Arial" w:cs="Arial"/>
              </w:rPr>
              <w:t>Technical owner</w:t>
            </w:r>
          </w:p>
        </w:tc>
        <w:tc>
          <w:tcPr>
            <w:tcW w:w="0" w:type="auto"/>
            <w:hideMark/>
          </w:tcPr>
          <w:p w14:paraId="06F0BCBE" w14:textId="77777777" w:rsidR="00C14F23" w:rsidRPr="00306BDC" w:rsidRDefault="00C14F23" w:rsidP="000D7956">
            <w:pPr>
              <w:spacing w:after="160" w:line="278" w:lineRule="auto"/>
              <w:rPr>
                <w:rFonts w:ascii="Arial" w:hAnsi="Arial" w:cs="Arial"/>
              </w:rPr>
            </w:pPr>
            <w:r w:rsidRPr="00306BDC">
              <w:rPr>
                <w:rFonts w:ascii="Arial" w:hAnsi="Arial" w:cs="Arial"/>
              </w:rPr>
              <w:t>Maintain and extend system</w:t>
            </w:r>
          </w:p>
        </w:tc>
      </w:tr>
      <w:tr w:rsidR="00C14F23" w:rsidRPr="00306BDC" w14:paraId="5C7F74FC" w14:textId="77777777" w:rsidTr="000D7956">
        <w:tc>
          <w:tcPr>
            <w:tcW w:w="0" w:type="auto"/>
            <w:hideMark/>
          </w:tcPr>
          <w:p w14:paraId="0974E0C4" w14:textId="77777777" w:rsidR="00C14F23" w:rsidRPr="00306BDC" w:rsidRDefault="00C14F23" w:rsidP="000D7956">
            <w:pPr>
              <w:spacing w:after="160" w:line="278" w:lineRule="auto"/>
              <w:rPr>
                <w:rFonts w:ascii="Arial" w:hAnsi="Arial" w:cs="Arial"/>
              </w:rPr>
            </w:pPr>
            <w:r w:rsidRPr="00306BDC">
              <w:rPr>
                <w:rFonts w:ascii="Arial" w:hAnsi="Arial" w:cs="Arial"/>
              </w:rPr>
              <w:t>Executive Management</w:t>
            </w:r>
          </w:p>
        </w:tc>
        <w:tc>
          <w:tcPr>
            <w:tcW w:w="0" w:type="auto"/>
            <w:hideMark/>
          </w:tcPr>
          <w:p w14:paraId="63DF8795" w14:textId="77777777" w:rsidR="00C14F23" w:rsidRPr="00306BDC" w:rsidRDefault="00C14F23" w:rsidP="000D7956">
            <w:pPr>
              <w:spacing w:after="160" w:line="278" w:lineRule="auto"/>
              <w:rPr>
                <w:rFonts w:ascii="Arial" w:hAnsi="Arial" w:cs="Arial"/>
              </w:rPr>
            </w:pPr>
            <w:r w:rsidRPr="00306BDC">
              <w:rPr>
                <w:rFonts w:ascii="Arial" w:hAnsi="Arial" w:cs="Arial"/>
              </w:rPr>
              <w:t>Strategic oversight</w:t>
            </w:r>
          </w:p>
        </w:tc>
        <w:tc>
          <w:tcPr>
            <w:tcW w:w="0" w:type="auto"/>
            <w:hideMark/>
          </w:tcPr>
          <w:p w14:paraId="11614ACE" w14:textId="77777777" w:rsidR="00C14F23" w:rsidRPr="00306BDC" w:rsidRDefault="00C14F23" w:rsidP="000D7956">
            <w:pPr>
              <w:spacing w:after="160" w:line="278" w:lineRule="auto"/>
              <w:rPr>
                <w:rFonts w:ascii="Arial" w:hAnsi="Arial" w:cs="Arial"/>
              </w:rPr>
            </w:pPr>
            <w:r w:rsidRPr="00306BDC">
              <w:rPr>
                <w:rFonts w:ascii="Arial" w:hAnsi="Arial" w:cs="Arial"/>
              </w:rPr>
              <w:t>Risk transparency and reporting</w:t>
            </w:r>
          </w:p>
        </w:tc>
      </w:tr>
    </w:tbl>
    <w:p w14:paraId="4FBC1F19" w14:textId="77777777" w:rsidR="00C14F23" w:rsidRPr="00EF061A" w:rsidRDefault="00C14F23" w:rsidP="00EF061A">
      <w:pPr>
        <w:rPr>
          <w:rStyle w:val="IntenseReference"/>
          <w:rFonts w:asciiTheme="majorHAnsi" w:hAnsiTheme="majorHAnsi"/>
        </w:rPr>
      </w:pPr>
    </w:p>
    <w:p w14:paraId="7C4D8F71" w14:textId="77777777" w:rsidR="00EF061A" w:rsidRDefault="00EF061A" w:rsidP="00EF061A"/>
    <w:p w14:paraId="047F332B" w14:textId="45D54F15" w:rsidR="00DF56BE" w:rsidRDefault="00DF56BE" w:rsidP="00EF061A"/>
    <w:p w14:paraId="10237C71" w14:textId="77777777" w:rsidR="00DF56BE" w:rsidRDefault="00DF56BE" w:rsidP="00EF061A"/>
    <w:p w14:paraId="2361D9D8" w14:textId="1CE7C641" w:rsidR="00DF56BE" w:rsidRDefault="00DF56BE" w:rsidP="00DF56BE"/>
    <w:p w14:paraId="7A27D8B6" w14:textId="0E99A64A" w:rsidR="00DF56BE" w:rsidRDefault="00DF56BE" w:rsidP="00DF56BE">
      <w:pPr>
        <w:rPr>
          <w:rStyle w:val="IntenseReference"/>
          <w:rFonts w:asciiTheme="majorHAnsi" w:hAnsiTheme="majorHAnsi"/>
          <w:sz w:val="40"/>
          <w:szCs w:val="40"/>
        </w:rPr>
      </w:pPr>
      <w:r w:rsidRPr="00DF56BE">
        <w:rPr>
          <w:rStyle w:val="IntenseReference"/>
          <w:rFonts w:asciiTheme="majorHAnsi" w:hAnsiTheme="majorHAnsi"/>
          <w:sz w:val="40"/>
          <w:szCs w:val="40"/>
        </w:rPr>
        <w:t xml:space="preserve">5. Scope </w:t>
      </w:r>
    </w:p>
    <w:p w14:paraId="23677C77" w14:textId="05A2F176" w:rsidR="00DF56BE" w:rsidRPr="00B7599B" w:rsidRDefault="00DF56BE" w:rsidP="00DF56BE">
      <w:pPr>
        <w:rPr>
          <w:rStyle w:val="IntenseReference"/>
          <w:rFonts w:ascii="Arial" w:hAnsi="Arial" w:cs="Arial"/>
          <w:b w:val="0"/>
          <w:bCs w:val="0"/>
          <w:smallCaps w:val="0"/>
          <w:color w:val="auto"/>
          <w:spacing w:val="0"/>
        </w:rPr>
      </w:pPr>
      <w:r w:rsidRPr="00DF56BE">
        <w:rPr>
          <w:rFonts w:ascii="Arial" w:hAnsi="Arial" w:cs="Arial"/>
        </w:rPr>
        <w:t>CovenantIQ is designed as a focused commercial loan risk surveillance platform. The scope of this project prioritizes automated covenant evaluation, early risk detection, and portfolio-level visibility while deliberately excluding broader banking operations such as loan origination, transaction processing, and core system integrations. This defined boundary ensures clarity of purpose, controlled complexity, and alignment with the primary objective of strengthening post-disbursement credit risk monitoring.</w:t>
      </w:r>
    </w:p>
    <w:p w14:paraId="2CF7A573" w14:textId="77777777" w:rsidR="00B7599B" w:rsidRPr="00B7599B" w:rsidRDefault="00B7599B" w:rsidP="00B7599B">
      <w:pPr>
        <w:rPr>
          <w:b/>
          <w:bCs/>
          <w:sz w:val="28"/>
          <w:szCs w:val="28"/>
        </w:rPr>
      </w:pPr>
      <w:r w:rsidRPr="00B7599B">
        <w:rPr>
          <w:b/>
          <w:bCs/>
          <w:sz w:val="28"/>
          <w:szCs w:val="28"/>
        </w:rPr>
        <w:t>5.1 In Scope</w:t>
      </w:r>
    </w:p>
    <w:p w14:paraId="3392F4C9" w14:textId="77777777" w:rsidR="00B7599B" w:rsidRPr="00B7599B" w:rsidRDefault="00B7599B" w:rsidP="00B7599B">
      <w:r w:rsidRPr="00B7599B">
        <w:t>CovenantIQ will provide the following capabilities:</w:t>
      </w:r>
    </w:p>
    <w:p w14:paraId="27C58BDA" w14:textId="77777777" w:rsidR="00B7599B" w:rsidRPr="00B7599B" w:rsidRDefault="00B7599B" w:rsidP="00B7599B">
      <w:pPr>
        <w:rPr>
          <w:b/>
          <w:bCs/>
        </w:rPr>
      </w:pPr>
      <w:r w:rsidRPr="00B7599B">
        <w:rPr>
          <w:b/>
          <w:bCs/>
        </w:rPr>
        <w:t>A. Loan &amp; Covenant Management</w:t>
      </w:r>
    </w:p>
    <w:p w14:paraId="6092F2F3" w14:textId="77777777" w:rsidR="00B7599B" w:rsidRPr="00B7599B" w:rsidRDefault="00B7599B" w:rsidP="00B7599B">
      <w:pPr>
        <w:pStyle w:val="ListParagraph"/>
        <w:numPr>
          <w:ilvl w:val="0"/>
          <w:numId w:val="11"/>
        </w:numPr>
      </w:pPr>
      <w:r w:rsidRPr="00B7599B">
        <w:t>Creation, retrieval, and closure of commercial loan records</w:t>
      </w:r>
    </w:p>
    <w:p w14:paraId="007F3C6F" w14:textId="77777777" w:rsidR="00B7599B" w:rsidRPr="00B7599B" w:rsidRDefault="00B7599B" w:rsidP="00B7599B">
      <w:pPr>
        <w:pStyle w:val="ListParagraph"/>
        <w:numPr>
          <w:ilvl w:val="0"/>
          <w:numId w:val="11"/>
        </w:numPr>
      </w:pPr>
      <w:r w:rsidRPr="00B7599B">
        <w:t>Configuration of financial covenants per loan</w:t>
      </w:r>
    </w:p>
    <w:p w14:paraId="2C3E0DDF" w14:textId="77777777" w:rsidR="00B7599B" w:rsidRPr="00B7599B" w:rsidRDefault="00B7599B" w:rsidP="00B7599B">
      <w:pPr>
        <w:pStyle w:val="ListParagraph"/>
        <w:numPr>
          <w:ilvl w:val="0"/>
          <w:numId w:val="11"/>
        </w:numPr>
      </w:pPr>
      <w:r w:rsidRPr="00B7599B">
        <w:t>Enforcement of covenant uniqueness and threshold rules</w:t>
      </w:r>
    </w:p>
    <w:p w14:paraId="63A6E98B" w14:textId="77777777" w:rsidR="00B7599B" w:rsidRPr="00B7599B" w:rsidRDefault="00B7599B" w:rsidP="00B7599B">
      <w:pPr>
        <w:rPr>
          <w:b/>
          <w:bCs/>
        </w:rPr>
      </w:pPr>
      <w:r w:rsidRPr="00B7599B">
        <w:rPr>
          <w:b/>
          <w:bCs/>
        </w:rPr>
        <w:t>B. Financial Monitoring &amp; Evaluation</w:t>
      </w:r>
    </w:p>
    <w:p w14:paraId="155A746B" w14:textId="77777777" w:rsidR="00B7599B" w:rsidRPr="00B7599B" w:rsidRDefault="00B7599B" w:rsidP="00B7599B">
      <w:pPr>
        <w:pStyle w:val="ListParagraph"/>
        <w:numPr>
          <w:ilvl w:val="0"/>
          <w:numId w:val="12"/>
        </w:numPr>
      </w:pPr>
      <w:r w:rsidRPr="00B7599B">
        <w:t>Submission of quarterly and annual financial statements</w:t>
      </w:r>
    </w:p>
    <w:p w14:paraId="4A30F2DB" w14:textId="77777777" w:rsidR="00B7599B" w:rsidRPr="00B7599B" w:rsidRDefault="00B7599B" w:rsidP="00B7599B">
      <w:pPr>
        <w:pStyle w:val="ListParagraph"/>
        <w:numPr>
          <w:ilvl w:val="0"/>
          <w:numId w:val="12"/>
        </w:numPr>
      </w:pPr>
      <w:r w:rsidRPr="00B7599B">
        <w:t>Automated financial ratio calculation</w:t>
      </w:r>
    </w:p>
    <w:p w14:paraId="52E1880F" w14:textId="77777777" w:rsidR="00B7599B" w:rsidRPr="00B7599B" w:rsidRDefault="00B7599B" w:rsidP="00B7599B">
      <w:pPr>
        <w:pStyle w:val="ListParagraph"/>
        <w:numPr>
          <w:ilvl w:val="0"/>
          <w:numId w:val="12"/>
        </w:numPr>
      </w:pPr>
      <w:r w:rsidRPr="00B7599B">
        <w:t>Automated covenant compliance evaluation</w:t>
      </w:r>
    </w:p>
    <w:p w14:paraId="312D92BF" w14:textId="77777777" w:rsidR="00B7599B" w:rsidRPr="00B7599B" w:rsidRDefault="00B7599B" w:rsidP="00B7599B">
      <w:pPr>
        <w:pStyle w:val="ListParagraph"/>
        <w:numPr>
          <w:ilvl w:val="0"/>
          <w:numId w:val="13"/>
        </w:numPr>
      </w:pPr>
      <w:r w:rsidRPr="00B7599B">
        <w:t>Versioning and historical preservation of financial statements</w:t>
      </w:r>
    </w:p>
    <w:p w14:paraId="3C63876C" w14:textId="77777777" w:rsidR="00B7599B" w:rsidRPr="00B7599B" w:rsidRDefault="00B7599B" w:rsidP="00B7599B">
      <w:pPr>
        <w:rPr>
          <w:b/>
          <w:bCs/>
        </w:rPr>
      </w:pPr>
      <w:r w:rsidRPr="00B7599B">
        <w:rPr>
          <w:b/>
          <w:bCs/>
        </w:rPr>
        <w:t>C. Risk Detection &amp; Alerting</w:t>
      </w:r>
    </w:p>
    <w:p w14:paraId="514F1280" w14:textId="77777777" w:rsidR="00B7599B" w:rsidRPr="00B7599B" w:rsidRDefault="00B7599B" w:rsidP="00B7599B">
      <w:pPr>
        <w:pStyle w:val="ListParagraph"/>
        <w:numPr>
          <w:ilvl w:val="0"/>
          <w:numId w:val="13"/>
        </w:numPr>
      </w:pPr>
      <w:r w:rsidRPr="00B7599B">
        <w:t>Breach alert generation for failed covenant conditions</w:t>
      </w:r>
    </w:p>
    <w:p w14:paraId="6185914A" w14:textId="77777777" w:rsidR="00B7599B" w:rsidRPr="00B7599B" w:rsidRDefault="00B7599B" w:rsidP="00B7599B">
      <w:pPr>
        <w:pStyle w:val="ListParagraph"/>
        <w:numPr>
          <w:ilvl w:val="0"/>
          <w:numId w:val="13"/>
        </w:numPr>
      </w:pPr>
      <w:r w:rsidRPr="00B7599B">
        <w:t>Early warning detection based on financial trends and threshold proximity</w:t>
      </w:r>
    </w:p>
    <w:p w14:paraId="5C23A716" w14:textId="77777777" w:rsidR="00B7599B" w:rsidRPr="00B7599B" w:rsidRDefault="00B7599B" w:rsidP="00B7599B">
      <w:pPr>
        <w:pStyle w:val="ListParagraph"/>
        <w:numPr>
          <w:ilvl w:val="0"/>
          <w:numId w:val="13"/>
        </w:numPr>
      </w:pPr>
      <w:r w:rsidRPr="00B7599B">
        <w:t>Structured alert lifecycle management (detection through resolution)</w:t>
      </w:r>
    </w:p>
    <w:p w14:paraId="5ECDE3B6" w14:textId="77777777" w:rsidR="00B7599B" w:rsidRPr="00B7599B" w:rsidRDefault="00B7599B" w:rsidP="00B7599B">
      <w:pPr>
        <w:pStyle w:val="ListParagraph"/>
        <w:numPr>
          <w:ilvl w:val="0"/>
          <w:numId w:val="13"/>
        </w:numPr>
      </w:pPr>
      <w:r w:rsidRPr="00B7599B">
        <w:t>Loan-level risk summary generation</w:t>
      </w:r>
    </w:p>
    <w:p w14:paraId="1BA5AC77" w14:textId="77777777" w:rsidR="00B7599B" w:rsidRPr="00B7599B" w:rsidRDefault="00B7599B" w:rsidP="00B7599B">
      <w:pPr>
        <w:rPr>
          <w:b/>
          <w:bCs/>
        </w:rPr>
      </w:pPr>
      <w:r w:rsidRPr="00B7599B">
        <w:rPr>
          <w:b/>
          <w:bCs/>
        </w:rPr>
        <w:t>D. Portfolio Risk Oversight</w:t>
      </w:r>
    </w:p>
    <w:p w14:paraId="3DD6018F" w14:textId="77777777" w:rsidR="00B7599B" w:rsidRPr="00B7599B" w:rsidRDefault="00B7599B" w:rsidP="00B7599B">
      <w:pPr>
        <w:pStyle w:val="ListParagraph"/>
        <w:numPr>
          <w:ilvl w:val="0"/>
          <w:numId w:val="14"/>
        </w:numPr>
      </w:pPr>
      <w:r w:rsidRPr="00B7599B">
        <w:t>Aggregation of risk metrics across active loans</w:t>
      </w:r>
    </w:p>
    <w:p w14:paraId="5606AADB" w14:textId="77777777" w:rsidR="00B7599B" w:rsidRDefault="00B7599B" w:rsidP="00B7599B">
      <w:pPr>
        <w:pStyle w:val="ListParagraph"/>
        <w:numPr>
          <w:ilvl w:val="0"/>
          <w:numId w:val="14"/>
        </w:numPr>
      </w:pPr>
      <w:r w:rsidRPr="00B7599B">
        <w:t>Categorization of portfolio risk exposure</w:t>
      </w:r>
    </w:p>
    <w:p w14:paraId="48DBD9EE" w14:textId="77777777" w:rsidR="00B7599B" w:rsidRDefault="00B7599B" w:rsidP="00B7599B"/>
    <w:p w14:paraId="7D0DB159" w14:textId="77777777" w:rsidR="00B7599B" w:rsidRDefault="00B7599B" w:rsidP="00B7599B"/>
    <w:p w14:paraId="35F21B61" w14:textId="77777777" w:rsidR="00B7599B" w:rsidRPr="00B7599B" w:rsidRDefault="00B7599B" w:rsidP="00B7599B"/>
    <w:p w14:paraId="58D58094" w14:textId="77777777" w:rsidR="00B7599B" w:rsidRPr="00B7599B" w:rsidRDefault="00B7599B" w:rsidP="00B7599B">
      <w:pPr>
        <w:rPr>
          <w:b/>
          <w:bCs/>
        </w:rPr>
      </w:pPr>
      <w:r w:rsidRPr="00B7599B">
        <w:rPr>
          <w:b/>
          <w:bCs/>
        </w:rPr>
        <w:lastRenderedPageBreak/>
        <w:t>E. Data Management &amp; Reporting</w:t>
      </w:r>
    </w:p>
    <w:p w14:paraId="11B2929F" w14:textId="77777777" w:rsidR="00B7599B" w:rsidRPr="00B7599B" w:rsidRDefault="00B7599B" w:rsidP="00B7599B">
      <w:pPr>
        <w:pStyle w:val="ListParagraph"/>
        <w:numPr>
          <w:ilvl w:val="0"/>
          <w:numId w:val="15"/>
        </w:numPr>
      </w:pPr>
      <w:r w:rsidRPr="00B7599B">
        <w:t>CSV export of alerts and covenant results</w:t>
      </w:r>
    </w:p>
    <w:p w14:paraId="0AAFA3F9" w14:textId="77777777" w:rsidR="00B7599B" w:rsidRPr="00B7599B" w:rsidRDefault="00B7599B" w:rsidP="00B7599B">
      <w:pPr>
        <w:pStyle w:val="ListParagraph"/>
        <w:numPr>
          <w:ilvl w:val="0"/>
          <w:numId w:val="15"/>
        </w:numPr>
      </w:pPr>
      <w:r w:rsidRPr="00B7599B">
        <w:t>Bulk import of financial statements via CSV/Excel</w:t>
      </w:r>
    </w:p>
    <w:p w14:paraId="0F324281" w14:textId="77777777" w:rsidR="00B7599B" w:rsidRPr="00B7599B" w:rsidRDefault="00B7599B" w:rsidP="00B7599B">
      <w:pPr>
        <w:pStyle w:val="ListParagraph"/>
        <w:numPr>
          <w:ilvl w:val="0"/>
          <w:numId w:val="15"/>
        </w:numPr>
      </w:pPr>
      <w:r w:rsidRPr="00B7599B">
        <w:t>PDF attachment storage for financial documentation</w:t>
      </w:r>
    </w:p>
    <w:p w14:paraId="162E0770" w14:textId="77777777" w:rsidR="00B7599B" w:rsidRPr="00B7599B" w:rsidRDefault="00B7599B" w:rsidP="00B7599B">
      <w:pPr>
        <w:rPr>
          <w:b/>
          <w:bCs/>
        </w:rPr>
      </w:pPr>
      <w:r w:rsidRPr="00B7599B">
        <w:rPr>
          <w:b/>
          <w:bCs/>
        </w:rPr>
        <w:t>F. Security, Governance &amp; Observability</w:t>
      </w:r>
    </w:p>
    <w:p w14:paraId="7EE00C7B" w14:textId="77777777" w:rsidR="00B7599B" w:rsidRPr="00B7599B" w:rsidRDefault="00B7599B" w:rsidP="00B7599B">
      <w:pPr>
        <w:pStyle w:val="ListParagraph"/>
        <w:numPr>
          <w:ilvl w:val="0"/>
          <w:numId w:val="16"/>
        </w:numPr>
      </w:pPr>
      <w:r w:rsidRPr="00B7599B">
        <w:t>User authentication and role-based access control</w:t>
      </w:r>
    </w:p>
    <w:p w14:paraId="744BBEBF" w14:textId="77777777" w:rsidR="00B7599B" w:rsidRPr="00B7599B" w:rsidRDefault="00B7599B" w:rsidP="00B7599B">
      <w:pPr>
        <w:pStyle w:val="ListParagraph"/>
        <w:numPr>
          <w:ilvl w:val="0"/>
          <w:numId w:val="16"/>
        </w:numPr>
      </w:pPr>
      <w:r w:rsidRPr="00B7599B">
        <w:t>Activity logging and audit trail maintenance</w:t>
      </w:r>
    </w:p>
    <w:p w14:paraId="18E18D2A" w14:textId="77777777" w:rsidR="00B7599B" w:rsidRPr="00B7599B" w:rsidRDefault="00B7599B" w:rsidP="00B7599B">
      <w:pPr>
        <w:pStyle w:val="ListParagraph"/>
        <w:numPr>
          <w:ilvl w:val="0"/>
          <w:numId w:val="16"/>
        </w:numPr>
      </w:pPr>
      <w:r w:rsidRPr="00B7599B">
        <w:t>Health monitoring endpoint for system availability</w:t>
      </w:r>
    </w:p>
    <w:p w14:paraId="1FF14DC4" w14:textId="77777777" w:rsidR="00B7599B" w:rsidRPr="00B7599B" w:rsidRDefault="00B7599B" w:rsidP="00B7599B">
      <w:pPr>
        <w:rPr>
          <w:b/>
          <w:bCs/>
        </w:rPr>
      </w:pPr>
      <w:r w:rsidRPr="00B7599B">
        <w:rPr>
          <w:b/>
          <w:bCs/>
        </w:rPr>
        <w:t>G. Deployment Architecture</w:t>
      </w:r>
    </w:p>
    <w:p w14:paraId="074112F3" w14:textId="77777777" w:rsidR="00B7599B" w:rsidRPr="00B7599B" w:rsidRDefault="00B7599B" w:rsidP="00B7599B">
      <w:pPr>
        <w:pStyle w:val="ListParagraph"/>
        <w:numPr>
          <w:ilvl w:val="0"/>
          <w:numId w:val="17"/>
        </w:numPr>
      </w:pPr>
      <w:r w:rsidRPr="00B7599B">
        <w:t>Deployment as a single containerized application</w:t>
      </w:r>
    </w:p>
    <w:p w14:paraId="6680B756" w14:textId="77777777" w:rsidR="00B7599B" w:rsidRPr="00B7599B" w:rsidRDefault="00B7599B" w:rsidP="00B7599B">
      <w:pPr>
        <w:pStyle w:val="ListParagraph"/>
        <w:numPr>
          <w:ilvl w:val="0"/>
          <w:numId w:val="17"/>
        </w:numPr>
      </w:pPr>
      <w:r w:rsidRPr="00B7599B">
        <w:t>Support for relational database storage</w:t>
      </w:r>
    </w:p>
    <w:p w14:paraId="01E411DC" w14:textId="77777777" w:rsidR="00DF56BE" w:rsidRPr="00B7599B" w:rsidRDefault="00DF56BE" w:rsidP="00B7599B">
      <w:pPr>
        <w:rPr>
          <w:rStyle w:val="IntenseReference"/>
          <w:rFonts w:ascii="Arial" w:hAnsi="Arial" w:cs="Arial"/>
        </w:rPr>
      </w:pPr>
    </w:p>
    <w:sectPr w:rsidR="00DF56BE" w:rsidRPr="00B75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4708"/>
    <w:multiLevelType w:val="multilevel"/>
    <w:tmpl w:val="66A4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200A"/>
    <w:multiLevelType w:val="multilevel"/>
    <w:tmpl w:val="A3ACAE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F6889"/>
    <w:multiLevelType w:val="multilevel"/>
    <w:tmpl w:val="A3ACAE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113AAE"/>
    <w:multiLevelType w:val="multilevel"/>
    <w:tmpl w:val="CD64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140DE"/>
    <w:multiLevelType w:val="multilevel"/>
    <w:tmpl w:val="A3ACAE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FD5E91"/>
    <w:multiLevelType w:val="multilevel"/>
    <w:tmpl w:val="68B2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914DD"/>
    <w:multiLevelType w:val="multilevel"/>
    <w:tmpl w:val="2C28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17B18"/>
    <w:multiLevelType w:val="multilevel"/>
    <w:tmpl w:val="3158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408A9"/>
    <w:multiLevelType w:val="multilevel"/>
    <w:tmpl w:val="DA9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91E69"/>
    <w:multiLevelType w:val="multilevel"/>
    <w:tmpl w:val="A3ACAE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E54EA8"/>
    <w:multiLevelType w:val="multilevel"/>
    <w:tmpl w:val="A9C0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3130F"/>
    <w:multiLevelType w:val="multilevel"/>
    <w:tmpl w:val="CBC6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F84DDF"/>
    <w:multiLevelType w:val="multilevel"/>
    <w:tmpl w:val="A3ACAE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8548FD"/>
    <w:multiLevelType w:val="multilevel"/>
    <w:tmpl w:val="A3ACAE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CA28B2"/>
    <w:multiLevelType w:val="multilevel"/>
    <w:tmpl w:val="A3ACAE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E9356D"/>
    <w:multiLevelType w:val="multilevel"/>
    <w:tmpl w:val="A3ACAE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9C7F2A"/>
    <w:multiLevelType w:val="multilevel"/>
    <w:tmpl w:val="687C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485219">
    <w:abstractNumId w:val="6"/>
  </w:num>
  <w:num w:numId="2" w16cid:durableId="149756153">
    <w:abstractNumId w:val="11"/>
  </w:num>
  <w:num w:numId="3" w16cid:durableId="1402754065">
    <w:abstractNumId w:val="9"/>
  </w:num>
  <w:num w:numId="4" w16cid:durableId="1910454917">
    <w:abstractNumId w:val="10"/>
  </w:num>
  <w:num w:numId="5" w16cid:durableId="377752442">
    <w:abstractNumId w:val="7"/>
  </w:num>
  <w:num w:numId="6" w16cid:durableId="330568611">
    <w:abstractNumId w:val="16"/>
  </w:num>
  <w:num w:numId="7" w16cid:durableId="769619261">
    <w:abstractNumId w:val="3"/>
  </w:num>
  <w:num w:numId="8" w16cid:durableId="376855275">
    <w:abstractNumId w:val="0"/>
  </w:num>
  <w:num w:numId="9" w16cid:durableId="1629239404">
    <w:abstractNumId w:val="5"/>
  </w:num>
  <w:num w:numId="10" w16cid:durableId="233318595">
    <w:abstractNumId w:val="8"/>
  </w:num>
  <w:num w:numId="11" w16cid:durableId="1459640164">
    <w:abstractNumId w:val="15"/>
  </w:num>
  <w:num w:numId="12" w16cid:durableId="1500460522">
    <w:abstractNumId w:val="1"/>
  </w:num>
  <w:num w:numId="13" w16cid:durableId="96488207">
    <w:abstractNumId w:val="4"/>
  </w:num>
  <w:num w:numId="14" w16cid:durableId="1391997611">
    <w:abstractNumId w:val="2"/>
  </w:num>
  <w:num w:numId="15" w16cid:durableId="564804273">
    <w:abstractNumId w:val="13"/>
  </w:num>
  <w:num w:numId="16" w16cid:durableId="2106337348">
    <w:abstractNumId w:val="14"/>
  </w:num>
  <w:num w:numId="17" w16cid:durableId="6876059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F0C"/>
    <w:rsid w:val="00126621"/>
    <w:rsid w:val="002701A9"/>
    <w:rsid w:val="002977CE"/>
    <w:rsid w:val="0050492F"/>
    <w:rsid w:val="005E539D"/>
    <w:rsid w:val="00712D2D"/>
    <w:rsid w:val="00B7599B"/>
    <w:rsid w:val="00C14F23"/>
    <w:rsid w:val="00DF56BE"/>
    <w:rsid w:val="00EF061A"/>
    <w:rsid w:val="00EF7F0C"/>
    <w:rsid w:val="00FB2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6838"/>
  <w15:chartTrackingRefBased/>
  <w15:docId w15:val="{527EDE93-2774-4971-8663-4C4EE0DAF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F0C"/>
    <w:rPr>
      <w:rFonts w:eastAsiaTheme="majorEastAsia" w:cstheme="majorBidi"/>
      <w:color w:val="272727" w:themeColor="text1" w:themeTint="D8"/>
    </w:rPr>
  </w:style>
  <w:style w:type="paragraph" w:styleId="Title">
    <w:name w:val="Title"/>
    <w:basedOn w:val="Normal"/>
    <w:next w:val="Normal"/>
    <w:link w:val="TitleChar"/>
    <w:uiPriority w:val="10"/>
    <w:qFormat/>
    <w:rsid w:val="00EF7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F0C"/>
    <w:pPr>
      <w:spacing w:before="160"/>
      <w:jc w:val="center"/>
    </w:pPr>
    <w:rPr>
      <w:i/>
      <w:iCs/>
      <w:color w:val="404040" w:themeColor="text1" w:themeTint="BF"/>
    </w:rPr>
  </w:style>
  <w:style w:type="character" w:customStyle="1" w:styleId="QuoteChar">
    <w:name w:val="Quote Char"/>
    <w:basedOn w:val="DefaultParagraphFont"/>
    <w:link w:val="Quote"/>
    <w:uiPriority w:val="29"/>
    <w:rsid w:val="00EF7F0C"/>
    <w:rPr>
      <w:i/>
      <w:iCs/>
      <w:color w:val="404040" w:themeColor="text1" w:themeTint="BF"/>
    </w:rPr>
  </w:style>
  <w:style w:type="paragraph" w:styleId="ListParagraph">
    <w:name w:val="List Paragraph"/>
    <w:basedOn w:val="Normal"/>
    <w:uiPriority w:val="34"/>
    <w:qFormat/>
    <w:rsid w:val="00EF7F0C"/>
    <w:pPr>
      <w:ind w:left="720"/>
      <w:contextualSpacing/>
    </w:pPr>
  </w:style>
  <w:style w:type="character" w:styleId="IntenseEmphasis">
    <w:name w:val="Intense Emphasis"/>
    <w:basedOn w:val="DefaultParagraphFont"/>
    <w:uiPriority w:val="21"/>
    <w:qFormat/>
    <w:rsid w:val="00EF7F0C"/>
    <w:rPr>
      <w:i/>
      <w:iCs/>
      <w:color w:val="0F4761" w:themeColor="accent1" w:themeShade="BF"/>
    </w:rPr>
  </w:style>
  <w:style w:type="paragraph" w:styleId="IntenseQuote">
    <w:name w:val="Intense Quote"/>
    <w:basedOn w:val="Normal"/>
    <w:next w:val="Normal"/>
    <w:link w:val="IntenseQuoteChar"/>
    <w:uiPriority w:val="30"/>
    <w:qFormat/>
    <w:rsid w:val="00EF7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F0C"/>
    <w:rPr>
      <w:i/>
      <w:iCs/>
      <w:color w:val="0F4761" w:themeColor="accent1" w:themeShade="BF"/>
    </w:rPr>
  </w:style>
  <w:style w:type="character" w:styleId="IntenseReference">
    <w:name w:val="Intense Reference"/>
    <w:basedOn w:val="DefaultParagraphFont"/>
    <w:uiPriority w:val="32"/>
    <w:qFormat/>
    <w:rsid w:val="00EF7F0C"/>
    <w:rPr>
      <w:b/>
      <w:bCs/>
      <w:smallCaps/>
      <w:color w:val="0F4761" w:themeColor="accent1" w:themeShade="BF"/>
      <w:spacing w:val="5"/>
    </w:rPr>
  </w:style>
  <w:style w:type="paragraph" w:styleId="TOCHeading">
    <w:name w:val="TOC Heading"/>
    <w:basedOn w:val="Heading1"/>
    <w:next w:val="Normal"/>
    <w:uiPriority w:val="39"/>
    <w:unhideWhenUsed/>
    <w:qFormat/>
    <w:rsid w:val="00712D2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12D2D"/>
    <w:pPr>
      <w:spacing w:after="100"/>
    </w:pPr>
  </w:style>
  <w:style w:type="character" w:styleId="Hyperlink">
    <w:name w:val="Hyperlink"/>
    <w:basedOn w:val="DefaultParagraphFont"/>
    <w:uiPriority w:val="99"/>
    <w:unhideWhenUsed/>
    <w:rsid w:val="00712D2D"/>
    <w:rPr>
      <w:color w:val="467886" w:themeColor="hyperlink"/>
      <w:u w:val="single"/>
    </w:rPr>
  </w:style>
  <w:style w:type="table" w:styleId="TableGrid">
    <w:name w:val="Table Grid"/>
    <w:basedOn w:val="TableNormal"/>
    <w:uiPriority w:val="39"/>
    <w:rsid w:val="00C14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1560E-484A-47CB-9F87-454239A52388}">
  <ds:schemaRefs>
    <ds:schemaRef ds:uri="http://schemas.openxmlformats.org/officeDocument/2006/bibliography"/>
  </ds:schemaRefs>
</ds:datastoreItem>
</file>

<file path=docMetadata/LabelInfo.xml><?xml version="1.0" encoding="utf-8"?>
<clbl:labelList xmlns:clbl="http://schemas.microsoft.com/office/2020/mipLabelMetadata">
  <clbl:label id="{57c83a7b-497c-4968-9581-bd5eafde588f}" enabled="1" method="Privileged" siteId="{dba62286-6a92-444e-bc9f-f91a3b03c595}" contentBits="0" removed="0"/>
</clbl:labelList>
</file>

<file path=docProps/app.xml><?xml version="1.0" encoding="utf-8"?>
<Properties xmlns="http://schemas.openxmlformats.org/officeDocument/2006/extended-properties" xmlns:vt="http://schemas.openxmlformats.org/officeDocument/2006/docPropsVTypes">
  <Template>Normal</Template>
  <TotalTime>93</TotalTime>
  <Pages>6</Pages>
  <Words>630</Words>
  <Characters>4315</Characters>
  <Application>Microsoft Office Word</Application>
  <DocSecurity>0</DocSecurity>
  <Lines>215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Talal Alhawaj</dc:creator>
  <cp:keywords/>
  <dc:description/>
  <cp:lastModifiedBy>Talal Alhawaj</cp:lastModifiedBy>
  <cp:revision>1</cp:revision>
  <dcterms:created xsi:type="dcterms:W3CDTF">2026-02-24T09:26:00Z</dcterms:created>
  <dcterms:modified xsi:type="dcterms:W3CDTF">2026-02-24T11:42:00Z</dcterms:modified>
</cp:coreProperties>
</file>