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BD00F">
      <w:pPr>
        <w:spacing w:after="420"/>
        <w:jc w:val="center"/>
      </w:pPr>
      <w:r>
        <w:rPr>
          <w:rFonts w:ascii="DIN Next" w:hAnsi="DIN Next"/>
          <w:color w:val="0288D1"/>
          <w:sz w:val="28"/>
        </w:rPr>
        <w:t>DEUTSCHE BÖRSE GROUP · BEIJING</w:t>
      </w:r>
    </w:p>
    <w:p w14:paraId="1BB13B6C">
      <w:pPr>
        <w:pStyle w:val="3"/>
        <w:spacing w:after="264" w:line="312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A237E"/>
          <w:sz w:val="44"/>
          <w:lang w:eastAsia="zh-CN"/>
        </w:rPr>
        <w:t>德交所集团北京代表处</w:t>
      </w:r>
      <w:r>
        <w:rPr>
          <w:rFonts w:hint="eastAsia" w:ascii="微软雅黑" w:hAnsi="微软雅黑" w:eastAsia="微软雅黑" w:cs="微软雅黑"/>
          <w:b w:val="0"/>
          <w:color w:val="1A237E"/>
          <w:sz w:val="4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color w:val="1A237E"/>
          <w:sz w:val="44"/>
          <w:lang w:eastAsia="zh-CN"/>
        </w:rPr>
        <w:t>周报使用介绍手册</w:t>
      </w:r>
    </w:p>
    <w:p w14:paraId="5D4C99CB">
      <w:pPr>
        <w:spacing w:after="900"/>
        <w:jc w:val="center"/>
      </w:pPr>
      <w:r>
        <w:rPr>
          <w:rFonts w:hint="eastAsia" w:ascii="微软雅黑" w:hAnsi="微软雅黑" w:eastAsia="微软雅黑" w:cs="微软雅黑"/>
          <w:color w:val="616161"/>
          <w:sz w:val="36"/>
          <w:lang w:eastAsia="zh-CN"/>
        </w:rPr>
        <w:t>系统简介</w:t>
      </w:r>
      <w:r>
        <w:rPr>
          <w:rFonts w:ascii="微软雅黑" w:hAnsi="微软雅黑"/>
          <w:color w:val="616161"/>
          <w:sz w:val="36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36"/>
          <w:lang w:eastAsia="zh-CN"/>
        </w:rPr>
        <w:t>信息源</w:t>
      </w:r>
      <w:r>
        <w:rPr>
          <w:rFonts w:ascii="微软雅黑" w:hAnsi="微软雅黑"/>
          <w:color w:val="616161"/>
          <w:sz w:val="36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36"/>
          <w:lang w:eastAsia="zh-CN"/>
        </w:rPr>
        <w:t>竞争者动态</w:t>
      </w:r>
      <w:r>
        <w:rPr>
          <w:rFonts w:ascii="微软雅黑" w:hAnsi="微软雅黑"/>
          <w:color w:val="616161"/>
          <w:sz w:val="36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36"/>
          <w:lang w:eastAsia="zh-CN"/>
        </w:rPr>
        <w:t>使用操作指南</w:t>
      </w:r>
    </w:p>
    <w:p w14:paraId="3D774DCF">
      <w:pPr>
        <w:jc w:val="center"/>
      </w:pP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编制单位：德交所集团北京代表处</w:t>
      </w:r>
    </w:p>
    <w:p w14:paraId="47F5879C">
      <w:pPr>
        <w:jc w:val="center"/>
      </w:pP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版本：</w:t>
      </w:r>
      <w:r>
        <w:rPr>
          <w:color w:val="616161"/>
          <w:sz w:val="16"/>
        </w:rPr>
        <w:t>v1.0</w:t>
      </w:r>
    </w:p>
    <w:p w14:paraId="626EA31A">
      <w:pPr>
        <w:spacing w:before="600"/>
        <w:jc w:val="center"/>
      </w:pPr>
      <w:r>
        <w:rPr>
          <w:rFonts w:hint="eastAsia" w:ascii="微软雅黑" w:hAnsi="微软雅黑" w:eastAsia="微软雅黑" w:cs="微软雅黑"/>
          <w:color w:val="FFFFFF"/>
          <w:sz w:val="16"/>
          <w:lang w:eastAsia="zh-CN"/>
        </w:rPr>
        <w:t>内部资料 · 每周一早 8:00 自动更新</w:t>
      </w:r>
    </w:p>
    <w:p w14:paraId="69525266">
      <w:pPr>
        <w:spacing w:after="132"/>
      </w:pPr>
      <w:r>
        <w:rPr>
          <w:rFonts w:hint="eastAsia" w:ascii="微软雅黑" w:hAnsi="微软雅黑" w:eastAsia="微软雅黑" w:cs="微软雅黑"/>
          <w:b w:val="0"/>
          <w:sz w:val="22"/>
          <w:lang w:eastAsia="zh-CN"/>
        </w:rPr>
        <w:t>目录</w:t>
      </w:r>
    </w:p>
    <w:p w14:paraId="6327DABD">
      <w:pPr>
        <w:pStyle w:val="14"/>
        <w:numPr>
          <w:ilvl w:val="0"/>
          <w:numId w:val="7"/>
        </w:numPr>
        <w:spacing w:after="45"/>
      </w:pPr>
      <w:r>
        <w:fldChar w:fldCharType="begin"/>
      </w:r>
      <w:r>
        <w:instrText xml:space="preserve"> HYPERLINK \l "section-1" \h </w:instrText>
      </w:r>
      <w:r>
        <w:fldChar w:fldCharType="separate"/>
      </w:r>
      <w:r>
        <w:rPr>
          <w:color w:val="0000EE"/>
          <w:u w:val="single"/>
        </w:rPr>
        <w:t>一、系统简介</w:t>
      </w:r>
      <w:r>
        <w:rPr>
          <w:color w:val="0000EE"/>
          <w:u w:val="single"/>
        </w:rPr>
        <w:fldChar w:fldCharType="end"/>
      </w:r>
    </w:p>
    <w:p w14:paraId="43BD66DA">
      <w:pPr>
        <w:pStyle w:val="14"/>
        <w:numPr>
          <w:ilvl w:val="0"/>
          <w:numId w:val="7"/>
        </w:numPr>
        <w:spacing w:after="45"/>
      </w:pPr>
      <w:r>
        <w:fldChar w:fldCharType="begin"/>
      </w:r>
      <w:r>
        <w:instrText xml:space="preserve"> HYPERLINK \l "section-2" \h </w:instrText>
      </w:r>
      <w:r>
        <w:fldChar w:fldCharType="separate"/>
      </w:r>
      <w:r>
        <w:rPr>
          <w:color w:val="0000EE"/>
          <w:u w:val="single"/>
        </w:rPr>
        <w:t>二、用途</w:t>
      </w:r>
      <w:r>
        <w:rPr>
          <w:color w:val="0000EE"/>
          <w:u w:val="single"/>
        </w:rPr>
        <w:fldChar w:fldCharType="end"/>
      </w:r>
    </w:p>
    <w:p w14:paraId="07334F8E">
      <w:pPr>
        <w:pStyle w:val="14"/>
        <w:numPr>
          <w:ilvl w:val="0"/>
          <w:numId w:val="7"/>
        </w:numPr>
        <w:spacing w:after="45"/>
      </w:pPr>
      <w:r>
        <w:fldChar w:fldCharType="begin"/>
      </w:r>
      <w:r>
        <w:instrText xml:space="preserve"> HYPERLINK \l "section-3" \h </w:instrText>
      </w:r>
      <w:r>
        <w:fldChar w:fldCharType="separate"/>
      </w:r>
      <w:r>
        <w:rPr>
          <w:color w:val="0000EE"/>
          <w:u w:val="single"/>
        </w:rPr>
        <w:t>三、系统构成</w:t>
      </w:r>
      <w:r>
        <w:rPr>
          <w:color w:val="0000EE"/>
          <w:u w:val="single"/>
        </w:rPr>
        <w:fldChar w:fldCharType="end"/>
      </w:r>
    </w:p>
    <w:p w14:paraId="02152184">
      <w:pPr>
        <w:pStyle w:val="14"/>
        <w:numPr>
          <w:ilvl w:val="0"/>
          <w:numId w:val="7"/>
        </w:numPr>
        <w:spacing w:after="45"/>
      </w:pPr>
      <w:r>
        <w:fldChar w:fldCharType="begin"/>
      </w:r>
      <w:r>
        <w:instrText xml:space="preserve"> HYPERLINK \l "section-4" \h </w:instrText>
      </w:r>
      <w:r>
        <w:fldChar w:fldCharType="separate"/>
      </w:r>
      <w:r>
        <w:rPr>
          <w:color w:val="0000EE"/>
          <w:u w:val="single"/>
        </w:rPr>
        <w:t>四、信息源总览（217 个）</w:t>
      </w:r>
      <w:r>
        <w:rPr>
          <w:color w:val="0000EE"/>
          <w:u w:val="single"/>
        </w:rPr>
        <w:fldChar w:fldCharType="end"/>
      </w:r>
    </w:p>
    <w:p w14:paraId="22F6150A">
      <w:pPr>
        <w:pStyle w:val="14"/>
        <w:numPr>
          <w:ilvl w:val="0"/>
          <w:numId w:val="7"/>
        </w:numPr>
        <w:spacing w:after="45"/>
      </w:pPr>
      <w:r>
        <w:fldChar w:fldCharType="begin"/>
      </w:r>
      <w:r>
        <w:instrText xml:space="preserve"> HYPERLINK \l "section-5" \h </w:instrText>
      </w:r>
      <w:r>
        <w:fldChar w:fldCharType="separate"/>
      </w:r>
      <w:r>
        <w:rPr>
          <w:color w:val="0000EE"/>
          <w:u w:val="single"/>
        </w:rPr>
        <w:t>五、竞争对手动态</w:t>
      </w:r>
      <w:r>
        <w:rPr>
          <w:color w:val="0000EE"/>
          <w:u w:val="single"/>
        </w:rPr>
        <w:fldChar w:fldCharType="end"/>
      </w:r>
    </w:p>
    <w:p w14:paraId="54F8DA21">
      <w:pPr>
        <w:pStyle w:val="14"/>
        <w:numPr>
          <w:ilvl w:val="0"/>
          <w:numId w:val="7"/>
        </w:numPr>
        <w:spacing w:after="45"/>
      </w:pPr>
      <w:r>
        <w:fldChar w:fldCharType="begin"/>
      </w:r>
      <w:r>
        <w:instrText xml:space="preserve"> HYPERLINK \l "section-6" \h </w:instrText>
      </w:r>
      <w:r>
        <w:fldChar w:fldCharType="separate"/>
      </w:r>
      <w:r>
        <w:rPr>
          <w:color w:val="0000EE"/>
          <w:u w:val="single"/>
        </w:rPr>
        <w:t>六、三大板块结构</w:t>
      </w:r>
      <w:r>
        <w:rPr>
          <w:color w:val="0000EE"/>
          <w:u w:val="single"/>
        </w:rPr>
        <w:fldChar w:fldCharType="end"/>
      </w:r>
    </w:p>
    <w:p w14:paraId="754253DF">
      <w:pPr>
        <w:pStyle w:val="14"/>
        <w:numPr>
          <w:ilvl w:val="0"/>
          <w:numId w:val="7"/>
        </w:numPr>
        <w:spacing w:after="45"/>
      </w:pPr>
      <w:r>
        <w:fldChar w:fldCharType="begin"/>
      </w:r>
      <w:r>
        <w:instrText xml:space="preserve"> HYPERLINK \l "section-7" \h </w:instrText>
      </w:r>
      <w:r>
        <w:fldChar w:fldCharType="separate"/>
      </w:r>
      <w:r>
        <w:rPr>
          <w:color w:val="0000EE"/>
          <w:u w:val="single"/>
        </w:rPr>
        <w:t>七、更新频率与自动化</w:t>
      </w:r>
      <w:r>
        <w:rPr>
          <w:color w:val="0000EE"/>
          <w:u w:val="single"/>
        </w:rPr>
        <w:fldChar w:fldCharType="end"/>
      </w:r>
    </w:p>
    <w:p w14:paraId="12FAA26C">
      <w:pPr>
        <w:pStyle w:val="14"/>
        <w:numPr>
          <w:ilvl w:val="0"/>
          <w:numId w:val="7"/>
        </w:numPr>
        <w:spacing w:after="45"/>
      </w:pPr>
      <w:r>
        <w:fldChar w:fldCharType="begin"/>
      </w:r>
      <w:r>
        <w:instrText xml:space="preserve"> HYPERLINK \l "section-8" \h </w:instrText>
      </w:r>
      <w:r>
        <w:fldChar w:fldCharType="separate"/>
      </w:r>
      <w:r>
        <w:rPr>
          <w:color w:val="0000EE"/>
          <w:u w:val="single"/>
        </w:rPr>
        <w:t>八、使用操作指南</w:t>
      </w:r>
      <w:r>
        <w:rPr>
          <w:color w:val="0000EE"/>
          <w:u w:val="single"/>
        </w:rPr>
        <w:fldChar w:fldCharType="end"/>
      </w:r>
    </w:p>
    <w:p w14:paraId="2DAB4F74">
      <w:pPr>
        <w:pStyle w:val="14"/>
        <w:numPr>
          <w:ilvl w:val="0"/>
          <w:numId w:val="7"/>
        </w:numPr>
        <w:spacing w:after="45"/>
      </w:pPr>
      <w:r>
        <w:fldChar w:fldCharType="begin"/>
      </w:r>
      <w:r>
        <w:instrText xml:space="preserve"> HYPERLINK \l "section-9" \h </w:instrText>
      </w:r>
      <w:r>
        <w:fldChar w:fldCharType="separate"/>
      </w:r>
      <w:r>
        <w:rPr>
          <w:color w:val="0000EE"/>
          <w:u w:val="single"/>
        </w:rPr>
        <w:t>九、数据处理规则</w:t>
      </w:r>
      <w:r>
        <w:rPr>
          <w:color w:val="0000EE"/>
          <w:u w:val="single"/>
        </w:rPr>
        <w:fldChar w:fldCharType="end"/>
      </w:r>
    </w:p>
    <w:p w14:paraId="2AF43022">
      <w:pPr>
        <w:pStyle w:val="14"/>
        <w:numPr>
          <w:ilvl w:val="0"/>
          <w:numId w:val="7"/>
        </w:numPr>
        <w:spacing w:after="45"/>
      </w:pPr>
      <w:r>
        <w:fldChar w:fldCharType="begin"/>
      </w:r>
      <w:r>
        <w:instrText xml:space="preserve"> HYPERLINK \l "section-10" \h </w:instrText>
      </w:r>
      <w:r>
        <w:fldChar w:fldCharType="separate"/>
      </w:r>
      <w:r>
        <w:rPr>
          <w:color w:val="0000EE"/>
          <w:u w:val="single"/>
        </w:rPr>
        <w:t>十、已知限制与说明</w:t>
      </w:r>
      <w:r>
        <w:rPr>
          <w:color w:val="0000EE"/>
          <w:u w:val="single"/>
        </w:rPr>
        <w:fldChar w:fldCharType="end"/>
      </w:r>
    </w:p>
    <w:p w14:paraId="409D2A36">
      <w:pPr>
        <w:pStyle w:val="14"/>
        <w:numPr>
          <w:ilvl w:val="0"/>
          <w:numId w:val="7"/>
        </w:numPr>
        <w:spacing w:after="45"/>
      </w:pPr>
      <w:r>
        <w:fldChar w:fldCharType="begin"/>
      </w:r>
      <w:r>
        <w:instrText xml:space="preserve"> HYPERLINK \l "section-11" \h </w:instrText>
      </w:r>
      <w:r>
        <w:fldChar w:fldCharType="separate"/>
      </w:r>
      <w:r>
        <w:rPr>
          <w:color w:val="0000EE"/>
          <w:u w:val="single"/>
        </w:rPr>
        <w:t>附：快速查阅表</w:t>
      </w:r>
      <w:r>
        <w:rPr>
          <w:color w:val="0000EE"/>
          <w:u w:val="single"/>
        </w:rPr>
        <w:fldChar w:fldCharType="end"/>
      </w:r>
    </w:p>
    <w:p w14:paraId="7A13E6C6">
      <w:pPr>
        <w:pStyle w:val="4"/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</w:pPr>
    </w:p>
    <w:p w14:paraId="58983499">
      <w:pPr>
        <w:pStyle w:val="4"/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</w:pPr>
    </w:p>
    <w:p w14:paraId="4FC0EC82">
      <w:pPr>
        <w:pStyle w:val="4"/>
      </w:pPr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核心信息速览</w:t>
      </w:r>
      <w:r>
        <w:rPr>
          <w:i/>
          <w:color w:val="616161"/>
          <w:sz w:val="16"/>
        </w:rPr>
        <w:t>AT A GLANCE</w:t>
      </w:r>
    </w:p>
    <w:p w14:paraId="5817C143"/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2149"/>
        <w:gridCol w:w="2149"/>
        <w:gridCol w:w="2152"/>
      </w:tblGrid>
      <w:tr w14:paraId="46A7FC4D"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BFE48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信息源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61398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大板块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EF9106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子品牌监测主体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1E0914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自动更新</w:t>
            </w:r>
          </w:p>
        </w:tc>
      </w:tr>
      <w:tr w14:paraId="631DDBC3">
        <w:tc>
          <w:tcPr>
            <w:tcW w:w="5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360" w:type="dxa"/>
              <w:left w:w="192" w:type="dxa"/>
              <w:bottom w:w="360" w:type="dxa"/>
              <w:right w:w="192" w:type="dxa"/>
            </w:tcMar>
            <w:vAlign w:val="center"/>
          </w:tcPr>
          <w:p w14:paraId="34F9B92F">
            <w:pPr>
              <w:spacing w:before="60" w:after="60" w:line="240" w:lineRule="auto"/>
              <w:jc w:val="center"/>
            </w:pPr>
            <w:r>
              <w:rPr>
                <w:rFonts w:ascii="DIN Next" w:hAnsi="DIN Next"/>
                <w:b w:val="0"/>
                <w:color w:val="1565C0"/>
                <w:sz w:val="20"/>
              </w:rPr>
              <w:t>217</w:t>
            </w:r>
          </w:p>
        </w:tc>
        <w:tc>
          <w:tcPr>
            <w:tcW w:w="5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360" w:type="dxa"/>
              <w:left w:w="192" w:type="dxa"/>
              <w:bottom w:w="360" w:type="dxa"/>
              <w:right w:w="192" w:type="dxa"/>
            </w:tcMar>
            <w:vAlign w:val="center"/>
          </w:tcPr>
          <w:p w14:paraId="0DFD5E98">
            <w:pPr>
              <w:spacing w:before="60" w:after="60" w:line="240" w:lineRule="auto"/>
              <w:jc w:val="center"/>
            </w:pPr>
            <w:r>
              <w:rPr>
                <w:rFonts w:ascii="DIN Next" w:hAnsi="DIN Next"/>
                <w:b w:val="0"/>
                <w:color w:val="1565C0"/>
                <w:sz w:val="20"/>
              </w:rPr>
              <w:t>3</w:t>
            </w:r>
          </w:p>
        </w:tc>
        <w:tc>
          <w:tcPr>
            <w:tcW w:w="5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360" w:type="dxa"/>
              <w:left w:w="192" w:type="dxa"/>
              <w:bottom w:w="360" w:type="dxa"/>
              <w:right w:w="192" w:type="dxa"/>
            </w:tcMar>
            <w:vAlign w:val="center"/>
          </w:tcPr>
          <w:p w14:paraId="2C68B0BE">
            <w:pPr>
              <w:spacing w:before="60" w:after="60" w:line="240" w:lineRule="auto"/>
              <w:jc w:val="center"/>
            </w:pPr>
            <w:r>
              <w:rPr>
                <w:rFonts w:ascii="DIN Next" w:hAnsi="DIN Next"/>
                <w:b w:val="0"/>
                <w:color w:val="1565C0"/>
                <w:sz w:val="20"/>
              </w:rPr>
              <w:t>9</w:t>
            </w:r>
          </w:p>
        </w:tc>
        <w:tc>
          <w:tcPr>
            <w:tcW w:w="5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FFFFF"/>
            <w:tcMar>
              <w:top w:w="360" w:type="dxa"/>
              <w:left w:w="192" w:type="dxa"/>
              <w:bottom w:w="360" w:type="dxa"/>
              <w:right w:w="192" w:type="dxa"/>
            </w:tcMar>
            <w:vAlign w:val="center"/>
          </w:tcPr>
          <w:p w14:paraId="5547610C">
            <w:pPr>
              <w:spacing w:before="60" w:after="60" w:line="240" w:lineRule="auto"/>
              <w:jc w:val="center"/>
            </w:pPr>
            <w:r>
              <w:rPr>
                <w:rFonts w:ascii="DIN Next" w:hAnsi="DIN Next"/>
                <w:b w:val="0"/>
                <w:color w:val="1565C0"/>
                <w:sz w:val="20"/>
              </w:rPr>
              <w:t>每周一 8:00</w:t>
            </w:r>
          </w:p>
        </w:tc>
      </w:tr>
    </w:tbl>
    <w:p w14:paraId="01C49D48"/>
    <w:p w14:paraId="24A60C19">
      <w:pPr>
        <w:spacing w:after="135"/>
        <w:rPr>
          <w:rFonts w:hint="eastAsia" w:ascii="微软雅黑" w:hAnsi="微软雅黑" w:eastAsia="微软雅黑" w:cs="微软雅黑"/>
          <w:sz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lang w:eastAsia="zh-CN"/>
        </w:rPr>
        <w:t>周报是德交所集团北京代表处专属的</w:t>
      </w:r>
      <w:r>
        <w:rPr>
          <w:rFonts w:hint="eastAsia" w:ascii="微软雅黑" w:hAnsi="微软雅黑" w:eastAsia="微软雅黑" w:cs="微软雅黑"/>
          <w:b/>
          <w:sz w:val="18"/>
          <w:lang w:eastAsia="zh-CN"/>
        </w:rPr>
        <w:t>情报资讯自动化工具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：每周自动采集全球金融监管、政策动向、集团内部动态与竞争对手信息，生成一份约</w:t>
      </w:r>
      <w:r>
        <w:rPr>
          <w:sz w:val="18"/>
        </w:rPr>
        <w:t xml:space="preserve"> 15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分钟阅读时长的</w:t>
      </w:r>
      <w:r>
        <w:rPr>
          <w:rFonts w:hint="eastAsia" w:ascii="微软雅黑" w:hAnsi="微软雅黑" w:eastAsia="微软雅黑" w:cs="微软雅黑"/>
          <w:b/>
          <w:sz w:val="18"/>
          <w:lang w:eastAsia="zh-CN"/>
        </w:rPr>
        <w:t>中英双语周报网页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。系统把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每周人工翻几十个官网拼周报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变成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自动采集、归类、翻译、生成可溯源的双语周报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。</w:t>
      </w:r>
    </w:p>
    <w:p w14:paraId="32203498">
      <w:pPr>
        <w:spacing w:after="135"/>
        <w:rPr>
          <w:rFonts w:hint="eastAsia" w:ascii="微软雅黑" w:hAnsi="微软雅黑" w:eastAsia="微软雅黑" w:cs="微软雅黑"/>
          <w:sz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【WorkBuddy】weekly_report_20260803 </w:t>
      </w:r>
      <w:r>
        <w:rPr>
          <w:rFonts w:hint="eastAsia" w:cs="微软雅黑"/>
          <w:sz w:val="18"/>
          <w:lang w:eastAsia="zh-CN"/>
        </w:rPr>
        <w:t>（</w:t>
      </w:r>
      <w:r>
        <w:rPr>
          <w:rFonts w:hint="eastAsia" w:cs="微软雅黑"/>
          <w:sz w:val="18"/>
          <w:lang w:val="en-US" w:eastAsia="zh-CN"/>
        </w:rPr>
        <w:t>可查看可编辑</w:t>
      </w:r>
      <w:r>
        <w:rPr>
          <w:rFonts w:hint="eastAsia" w:cs="微软雅黑"/>
          <w:sz w:val="18"/>
          <w:lang w:eastAsia="zh-CN"/>
        </w:rPr>
        <w:t>）</w:t>
      </w:r>
      <w:r>
        <w:rPr>
          <w:rFonts w:hint="eastAsia" w:ascii="微软雅黑" w:hAnsi="微软雅黑" w:eastAsia="微软雅黑" w:cs="微软雅黑"/>
          <w:sz w:val="18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sz w:val="18"/>
          <w:lang w:eastAsia="zh-CN"/>
        </w:rPr>
        <w:instrText xml:space="preserve"> HYPERLINK "https://www.workbuddy.cn/space/d/LA7oSyhNadrtnkY0j1Rswy?ext2=copy_link" </w:instrText>
      </w:r>
      <w:r>
        <w:rPr>
          <w:rFonts w:hint="eastAsia" w:ascii="微软雅黑" w:hAnsi="微软雅黑" w:eastAsia="微软雅黑" w:cs="微软雅黑"/>
          <w:sz w:val="18"/>
          <w:lang w:eastAsia="zh-CN"/>
        </w:rPr>
        <w:fldChar w:fldCharType="separate"/>
      </w:r>
      <w:r>
        <w:rPr>
          <w:rStyle w:val="135"/>
          <w:rFonts w:hint="eastAsia" w:ascii="微软雅黑" w:hAnsi="微软雅黑" w:eastAsia="微软雅黑" w:cs="微软雅黑"/>
          <w:sz w:val="18"/>
          <w:lang w:eastAsia="zh-CN"/>
        </w:rPr>
        <w:t>https://www.workbuddy.cn/space/d/LA7oSyhNadrtnkY0j1Rswy?ext2=copy_link</w:t>
      </w:r>
      <w:r>
        <w:rPr>
          <w:rFonts w:hint="eastAsia" w:ascii="微软雅黑" w:hAnsi="微软雅黑" w:eastAsia="微软雅黑" w:cs="微软雅黑"/>
          <w:sz w:val="18"/>
          <w:lang w:eastAsia="zh-CN"/>
        </w:rPr>
        <w:fldChar w:fldCharType="end"/>
      </w:r>
    </w:p>
    <w:p w14:paraId="461C3789">
      <w:pPr>
        <w:pStyle w:val="4"/>
        <w:pBdr>
          <w:left w:val="single" w:color="1565C0" w:sz="24" w:space="0"/>
        </w:pBdr>
        <w:spacing w:before="650" w:after="390"/>
        <w:jc w:val="left"/>
      </w:pPr>
      <w:bookmarkStart w:id="0" w:name="section-1"/>
      <w:bookmarkEnd w:id="0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一、系统简介</w:t>
      </w:r>
    </w:p>
    <w:p w14:paraId="74888457">
      <w:pPr>
        <w:spacing w:after="135"/>
        <w:jc w:val="both"/>
      </w:pPr>
      <w:r>
        <w:rPr>
          <w:rFonts w:hint="eastAsia" w:ascii="微软雅黑" w:hAnsi="微软雅黑" w:eastAsia="微软雅黑" w:cs="微软雅黑"/>
          <w:sz w:val="18"/>
          <w:lang w:eastAsia="zh-CN"/>
        </w:rPr>
        <w:t>周报简报系统是德交所集团北京代表处专属的情报资讯自动化工具。系统每周自动采集全球金融监管、政策动向、集团内部动态与竞争对手信息，生成一份约</w:t>
      </w:r>
      <w:r>
        <w:rPr>
          <w:sz w:val="18"/>
        </w:rPr>
        <w:t xml:space="preserve"> 15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分钟阅读时长的双语周报网页（中文</w:t>
      </w:r>
      <w:r>
        <w:rPr>
          <w:sz w:val="18"/>
        </w:rPr>
        <w:t xml:space="preserve"> /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英文界面即时切换），帮助团队快速掌握一周重要资讯。</w:t>
      </w:r>
    </w:p>
    <w:p w14:paraId="5BA96D8B">
      <w:pPr>
        <w:spacing w:after="135"/>
        <w:jc w:val="both"/>
      </w:pPr>
      <w:r>
        <w:rPr>
          <w:rFonts w:hint="eastAsia" w:ascii="微软雅黑" w:hAnsi="微软雅黑" w:eastAsia="微软雅黑" w:cs="微软雅黑"/>
          <w:sz w:val="18"/>
          <w:lang w:eastAsia="zh-CN"/>
        </w:rPr>
        <w:t>系统输出的是一份自包含的</w:t>
      </w:r>
      <w:r>
        <w:rPr>
          <w:sz w:val="18"/>
        </w:rPr>
        <w:t xml:space="preserve"> HTML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网页文件</w:t>
      </w:r>
      <w:r>
        <w:rPr>
          <w:sz w:val="18"/>
        </w:rPr>
        <w:t>——</w:t>
      </w:r>
      <w:r>
        <w:rPr>
          <w:rFonts w:hint="eastAsia" w:ascii="微软雅黑" w:hAnsi="微软雅黑" w:eastAsia="微软雅黑" w:cs="微软雅黑"/>
          <w:sz w:val="18"/>
          <w:lang w:eastAsia="zh-CN"/>
        </w:rPr>
        <w:t>所有样式与数据内嵌于单个文件，无需安装任何软件，双击即可打开阅读，也便于通过邮件、内网共享。</w:t>
      </w:r>
    </w:p>
    <w:p w14:paraId="4F67EB85">
      <w:pPr>
        <w:pStyle w:val="4"/>
        <w:pBdr>
          <w:left w:val="single" w:color="1565C0" w:sz="24" w:space="0"/>
        </w:pBdr>
        <w:spacing w:before="650" w:after="390"/>
        <w:jc w:val="left"/>
      </w:pPr>
      <w:bookmarkStart w:id="1" w:name="section-2"/>
      <w:bookmarkEnd w:id="1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二、用途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2"/>
        <w:gridCol w:w="5848"/>
      </w:tblGrid>
      <w:tr w14:paraId="58FD97C1">
        <w:tc>
          <w:tcPr>
            <w:tcW w:w="16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FB35774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痛点</w:t>
            </w:r>
          </w:p>
        </w:tc>
        <w:tc>
          <w:tcPr>
            <w:tcW w:w="34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7BAE36B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本系统的解法</w:t>
            </w:r>
          </w:p>
        </w:tc>
      </w:tr>
      <w:tr w14:paraId="3D7EE8E6"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B4B57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政策与监管动态分散在几十个官网，人工逐站查看耗时巨大</w:t>
            </w:r>
          </w:p>
        </w:tc>
        <w:tc>
          <w:tcPr>
            <w:tcW w:w="3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0A226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一次配置  217  个来源，系统每周自动抓取、按国家 / 地区归类</w:t>
            </w:r>
          </w:p>
        </w:tc>
      </w:tr>
      <w:tr w14:paraId="1529D761"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BBBF5F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集团四大业务板块（交易、投资管理、证券服务、信息技术）动态分散</w:t>
            </w:r>
          </w:p>
        </w:tc>
        <w:tc>
          <w:tcPr>
            <w:tcW w:w="3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AF9D8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统一汇聚到 " 德交所集团动态 " 板块，按业务线展示</w:t>
            </w:r>
          </w:p>
        </w:tc>
      </w:tr>
      <w:tr w14:paraId="0E6F11EF"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498DC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竞争情报缺失 —— 不清楚每个业务各自面对谁</w:t>
            </w:r>
          </w:p>
        </w:tc>
        <w:tc>
          <w:tcPr>
            <w:tcW w:w="3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82736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" 竞争对手动态 " 板块以集团每个子品牌为主体，分别列出其国际竞争者与中国竞争者，逐周跟踪</w:t>
            </w:r>
          </w:p>
        </w:tc>
      </w:tr>
      <w:tr w14:paraId="69F398D9"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EF1B5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信息源混杂、难辨官方口径</w:t>
            </w:r>
          </w:p>
        </w:tc>
        <w:tc>
          <w:tcPr>
            <w:tcW w:w="3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B2C1F4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采集规则明确 " 官方优先 " ：同一事件多家报道时，优先保留官方新闻稿（ priority=1 ）</w:t>
            </w:r>
          </w:p>
        </w:tc>
      </w:tr>
      <w:tr w14:paraId="75D8CD4C"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2C3C7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语言障碍：中文读者看英文原文吃力</w:t>
            </w:r>
          </w:p>
        </w:tc>
        <w:tc>
          <w:tcPr>
            <w:tcW w:w="3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BDFB2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全部标题机器翻译为中英双语，一键切换界面语言</w:t>
            </w:r>
          </w:p>
        </w:tc>
      </w:tr>
      <w:tr w14:paraId="04563159"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6ADC92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资讯无法溯源、无法复核</w:t>
            </w:r>
          </w:p>
        </w:tc>
        <w:tc>
          <w:tcPr>
            <w:tcW w:w="3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955B4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每条新闻保留来源与原文链接，点击直达官方页面</w:t>
            </w:r>
          </w:p>
        </w:tc>
      </w:tr>
      <w:tr w14:paraId="6EDC3A4B"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889B3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手工汇总周报费时费力、易遗漏</w:t>
            </w:r>
          </w:p>
        </w:tc>
        <w:tc>
          <w:tcPr>
            <w:tcW w:w="3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F606D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每周一早  8  点自动化生成，无需人工干预</w:t>
            </w:r>
          </w:p>
        </w:tc>
      </w:tr>
    </w:tbl>
    <w:p w14:paraId="110F6478">
      <w:pPr>
        <w:spacing w:after="135"/>
        <w:jc w:val="both"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一句话总结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：把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每周人工翻几十个官网拼周报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变成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系统自动采集、归类、翻译、生成可溯源的双语周报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。</w:t>
      </w:r>
    </w:p>
    <w:p w14:paraId="024CF136">
      <w:pPr>
        <w:pStyle w:val="4"/>
        <w:pBdr>
          <w:left w:val="single" w:color="1565C0" w:sz="24" w:space="0"/>
        </w:pBdr>
        <w:spacing w:before="650" w:after="390"/>
        <w:jc w:val="left"/>
      </w:pPr>
      <w:bookmarkStart w:id="2" w:name="section-3"/>
      <w:bookmarkEnd w:id="2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三、系统构成</w:t>
      </w:r>
    </w:p>
    <w:p w14:paraId="4815B825">
      <w:pPr>
        <w:spacing w:after="135"/>
        <w:jc w:val="both"/>
      </w:pPr>
      <w:r>
        <w:rPr>
          <w:rFonts w:hint="eastAsia" w:ascii="微软雅黑" w:hAnsi="微软雅黑" w:eastAsia="微软雅黑" w:cs="微软雅黑"/>
          <w:sz w:val="18"/>
          <w:lang w:eastAsia="zh-CN"/>
        </w:rPr>
        <w:t>系统由五个部分组成：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5961"/>
      </w:tblGrid>
      <w:tr w14:paraId="4B4C4455">
        <w:tc>
          <w:tcPr>
            <w:tcW w:w="13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14B0A0E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组件</w:t>
            </w:r>
          </w:p>
        </w:tc>
        <w:tc>
          <w:tcPr>
            <w:tcW w:w="37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8428CC0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作用</w:t>
            </w:r>
          </w:p>
        </w:tc>
      </w:tr>
      <w:tr w14:paraId="26D2C546"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3A7078">
            <w:pPr>
              <w:spacing w:before="40" w:after="40" w:line="240" w:lineRule="auto"/>
              <w:jc w:val="left"/>
            </w:pPr>
            <w:r>
              <w:rPr>
                <w:rFonts w:ascii="Courier" w:hAnsi="Courier"/>
                <w:sz w:val="16"/>
              </w:rPr>
              <w:t>sources.json</w:t>
            </w:r>
          </w:p>
        </w:tc>
        <w:tc>
          <w:tcPr>
            <w:tcW w:w="3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6F7C1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来源注册表（ 217  个来源），系统的单一数据源，决定 " 采集什么 "</w:t>
            </w:r>
          </w:p>
        </w:tc>
      </w:tr>
      <w:tr w14:paraId="23F7DB0F"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063E6B">
            <w:pPr>
              <w:spacing w:before="40" w:after="40" w:line="240" w:lineRule="auto"/>
              <w:jc w:val="left"/>
            </w:pPr>
            <w:r>
              <w:rPr>
                <w:rFonts w:ascii="Courier" w:hAnsi="Courier"/>
                <w:sz w:val="16"/>
              </w:rPr>
              <w:t>collector.py</w:t>
            </w:r>
          </w:p>
        </w:tc>
        <w:tc>
          <w:tcPr>
            <w:tcW w:w="3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62FB2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采集器，抓取  RSS  与官方新闻列表页，按自然周过滤、官方优先去重、标题翻译</w:t>
            </w:r>
          </w:p>
        </w:tc>
      </w:tr>
      <w:tr w14:paraId="7DE5E947"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559CC2">
            <w:pPr>
              <w:spacing w:before="40" w:after="40" w:line="240" w:lineRule="auto"/>
              <w:jc w:val="left"/>
            </w:pPr>
            <w:r>
              <w:rPr>
                <w:rFonts w:ascii="Courier" w:hAnsi="Courier"/>
                <w:sz w:val="16"/>
              </w:rPr>
              <w:t>generate_weekly.py</w:t>
            </w:r>
          </w:p>
        </w:tc>
        <w:tc>
          <w:tcPr>
            <w:tcW w:w="3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BD73D1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渲染器，按固定板块结构组织数据，自动生成 " 本期导读 " ，注入  HTML  模板</w:t>
            </w:r>
          </w:p>
        </w:tc>
      </w:tr>
      <w:tr w14:paraId="0BB923CA"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39C0E6">
            <w:pPr>
              <w:spacing w:before="40" w:after="40" w:line="240" w:lineRule="auto"/>
              <w:jc w:val="left"/>
            </w:pPr>
            <w:r>
              <w:rPr>
                <w:rFonts w:ascii="Courier" w:hAnsi="Courier"/>
                <w:sz w:val="16"/>
              </w:rPr>
              <w:t>templates/report_template.html</w:t>
            </w:r>
          </w:p>
        </w:tc>
        <w:tc>
          <w:tcPr>
            <w:tcW w:w="3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B1914F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周报模板，含完整  CSS 、中英切换、左侧导航、折叠与筛选交互</w:t>
            </w:r>
          </w:p>
        </w:tc>
      </w:tr>
      <w:tr w14:paraId="2A7965D2"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FCA57E">
            <w:pPr>
              <w:spacing w:before="40" w:after="40" w:line="240" w:lineRule="auto"/>
              <w:jc w:val="left"/>
            </w:pPr>
            <w:r>
              <w:rPr>
                <w:rFonts w:ascii="Courier" w:hAnsi="Courier"/>
                <w:sz w:val="16"/>
              </w:rPr>
              <w:t>run_weekly.py</w:t>
            </w:r>
          </w:p>
        </w:tc>
        <w:tc>
          <w:tcPr>
            <w:tcW w:w="3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E97B7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一键入口，依次调用采集与渲染，生成完整周报</w:t>
            </w:r>
          </w:p>
        </w:tc>
      </w:tr>
    </w:tbl>
    <w:p w14:paraId="68B1C6BF">
      <w:pPr>
        <w:pStyle w:val="4"/>
        <w:pBdr>
          <w:left w:val="single" w:color="1565C0" w:sz="24" w:space="0"/>
        </w:pBdr>
        <w:spacing w:before="650" w:after="390"/>
        <w:jc w:val="left"/>
      </w:pPr>
      <w:bookmarkStart w:id="3" w:name="section-4"/>
      <w:bookmarkEnd w:id="3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四、信息源总览（217 个）</w:t>
      </w:r>
    </w:p>
    <w:p w14:paraId="7FBAD666">
      <w:pPr>
        <w:spacing w:after="135"/>
        <w:jc w:val="both"/>
      </w:pPr>
      <w:r>
        <w:rPr>
          <w:rFonts w:hint="eastAsia" w:ascii="微软雅黑" w:hAnsi="微软雅黑" w:eastAsia="微软雅黑" w:cs="微软雅黑"/>
          <w:sz w:val="18"/>
          <w:lang w:eastAsia="zh-CN"/>
        </w:rPr>
        <w:t>系统共注册</w:t>
      </w:r>
      <w:r>
        <w:rPr>
          <w:sz w:val="18"/>
        </w:rPr>
        <w:t xml:space="preserve"> 217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个信息源，按板块分为三类，全部为官方机构、监管机构或权威媒体，保证信息可溯源。</w:t>
      </w:r>
    </w:p>
    <w:p w14:paraId="59D41CEA">
      <w:pPr>
        <w:pStyle w:val="5"/>
        <w:spacing w:before="330"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4.1 宏观政策与监管动态（128 个来源）</w:t>
      </w:r>
    </w:p>
    <w:p w14:paraId="58BCECDE">
      <w:pPr>
        <w:spacing w:after="135"/>
        <w:jc w:val="both"/>
      </w:pPr>
      <w:r>
        <w:rPr>
          <w:rFonts w:hint="eastAsia" w:ascii="微软雅黑" w:hAnsi="微软雅黑" w:eastAsia="微软雅黑" w:cs="微软雅黑"/>
          <w:sz w:val="18"/>
          <w:lang w:eastAsia="zh-CN"/>
        </w:rPr>
        <w:t>按国家</w:t>
      </w:r>
      <w:r>
        <w:rPr>
          <w:sz w:val="18"/>
        </w:rPr>
        <w:t>/</w:t>
      </w:r>
      <w:r>
        <w:rPr>
          <w:rFonts w:hint="eastAsia" w:ascii="微软雅黑" w:hAnsi="微软雅黑" w:eastAsia="微软雅黑" w:cs="微软雅黑"/>
          <w:sz w:val="18"/>
          <w:lang w:eastAsia="zh-CN"/>
        </w:rPr>
        <w:t>地区分为六个分组：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860"/>
        <w:gridCol w:w="6192"/>
      </w:tblGrid>
      <w:tr w14:paraId="7E1C560A">
        <w:tc>
          <w:tcPr>
            <w:tcW w:w="9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7D4003D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分组</w:t>
            </w:r>
          </w:p>
        </w:tc>
        <w:tc>
          <w:tcPr>
            <w:tcW w:w="5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178DAF6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数量</w:t>
            </w:r>
          </w:p>
        </w:tc>
        <w:tc>
          <w:tcPr>
            <w:tcW w:w="36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F26A8F9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代表来源</w:t>
            </w:r>
          </w:p>
        </w:tc>
      </w:tr>
      <w:tr w14:paraId="66010053"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F9BDD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中国</w:t>
            </w:r>
          </w:p>
        </w:tc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97C752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44</w:t>
            </w:r>
          </w:p>
        </w:tc>
        <w:tc>
          <w:tcPr>
            <w:tcW w:w="3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8E524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国家金融监督管理总局、中国人民银行、中国证监会、国家外汇管理局、财政部、金融行业协会（银行业 / 证券业 / 基金业等）、新华社、人民日报等中央媒体</w:t>
            </w:r>
          </w:p>
        </w:tc>
      </w:tr>
      <w:tr w14:paraId="68497BE3"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B304D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美国</w:t>
            </w:r>
          </w:p>
        </w:tc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9E12A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24</w:t>
            </w:r>
          </w:p>
        </w:tc>
        <w:tc>
          <w:tcPr>
            <w:tcW w:w="3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97B45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美联储、美国证券交易委员会（ SEC ）、商品期货交易委员会（ CFTC ）、货币监理署、 FDIC 、 NFA 、美国财政部、华尔街日报、彭博、 MarketWatch  等</w:t>
            </w:r>
          </w:p>
        </w:tc>
      </w:tr>
      <w:tr w14:paraId="3E8E1EED"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54741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英国</w:t>
            </w:r>
          </w:p>
        </w:tc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D6C55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10</w:t>
            </w:r>
          </w:p>
        </w:tc>
        <w:tc>
          <w:tcPr>
            <w:tcW w:w="3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28F4B4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金融行为监管局（ FCA ）、审慎监管局（ PRA ）、英国财政部、英国银行业协会、金融时报、路透社等</w:t>
            </w:r>
          </w:p>
        </w:tc>
      </w:tr>
      <w:tr w14:paraId="259321BB"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08478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欧洲</w:t>
            </w:r>
          </w:p>
        </w:tc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6A55FF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17</w:t>
            </w:r>
          </w:p>
        </w:tc>
        <w:tc>
          <w:tcPr>
            <w:tcW w:w="3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F761D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欧洲中央银行（ ECB ）、德国联邦金融监管局（ BaFin ）、法国金融市场管理局（ AMF ）、瑞士金融市场监管局（ FINMA ）等欧洲各国监管机构</w:t>
            </w:r>
          </w:p>
        </w:tc>
      </w:tr>
      <w:tr w14:paraId="2EF6C1E9"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2C978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国际组织</w:t>
            </w:r>
          </w:p>
        </w:tc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C9578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w="3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5E2D5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国际证监会组织（ IOSCO ）、巴塞尔银行监管委员会、国际清算银行（ BIS ）、全球中央对手方协会（ CCP Global ）等</w:t>
            </w:r>
          </w:p>
        </w:tc>
      </w:tr>
      <w:tr w14:paraId="0D9037BD"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A4ACAF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亚太</w:t>
            </w:r>
          </w:p>
        </w:tc>
        <w:tc>
          <w:tcPr>
            <w:tcW w:w="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A6495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21</w:t>
            </w:r>
          </w:p>
        </w:tc>
        <w:tc>
          <w:tcPr>
            <w:tcW w:w="3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70F7F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香港金管局、香港证监会、新加坡金管局、澳大利亚审慎监管局、韩国金融监督委员会、联合早报等</w:t>
            </w:r>
          </w:p>
        </w:tc>
      </w:tr>
    </w:tbl>
    <w:p w14:paraId="77032F2A">
      <w:pPr>
        <w:pStyle w:val="5"/>
        <w:spacing w:before="330"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4.2 德交所集团内部动态（12 个来源）</w:t>
      </w:r>
    </w:p>
    <w:p w14:paraId="518B19A3">
      <w:pPr>
        <w:spacing w:after="135"/>
        <w:jc w:val="both"/>
      </w:pPr>
      <w:r>
        <w:rPr>
          <w:rFonts w:hint="eastAsia" w:ascii="微软雅黑" w:hAnsi="微软雅黑" w:eastAsia="微软雅黑" w:cs="微软雅黑"/>
          <w:sz w:val="18"/>
          <w:lang w:eastAsia="zh-CN"/>
        </w:rPr>
        <w:t>覆盖集团总部与四大业务板块：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6364"/>
      </w:tblGrid>
      <w:tr w14:paraId="54B7598C">
        <w:tc>
          <w:tcPr>
            <w:tcW w:w="13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A006126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分组</w:t>
            </w:r>
          </w:p>
        </w:tc>
        <w:tc>
          <w:tcPr>
            <w:tcW w:w="37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8E33327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来源</w:t>
            </w:r>
          </w:p>
        </w:tc>
      </w:tr>
      <w:tr w14:paraId="0C7A07F9"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690FD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集团官方</w:t>
            </w:r>
          </w:p>
        </w:tc>
        <w:tc>
          <w:tcPr>
            <w:tcW w:w="3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E1FA8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德意志交易所集团官网、中文官网、北京代表处、活动应用</w:t>
            </w:r>
          </w:p>
        </w:tc>
      </w:tr>
      <w:tr w14:paraId="65C10A28"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ABE991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交易与清算</w:t>
            </w:r>
          </w:p>
        </w:tc>
        <w:tc>
          <w:tcPr>
            <w:tcW w:w="3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4C4A4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欧洲期货交易所（ Eurex ）、欧洲能源交易所（ EEX ）、 360T 、 Crypto Finance</w:t>
            </w:r>
          </w:p>
        </w:tc>
      </w:tr>
      <w:tr w14:paraId="07670D59"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FBBCB4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投资管理解决方案</w:t>
            </w:r>
          </w:p>
        </w:tc>
        <w:tc>
          <w:tcPr>
            <w:tcW w:w="3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A1E89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SimCorp 、 STOXX 、 ISS STOXX</w:t>
            </w:r>
          </w:p>
        </w:tc>
      </w:tr>
      <w:tr w14:paraId="1FEA9D57"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A1DA9F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证券与基金服务</w:t>
            </w:r>
          </w:p>
        </w:tc>
        <w:tc>
          <w:tcPr>
            <w:tcW w:w="3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C77B8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明讯银行（ Clearstream ）</w:t>
            </w:r>
          </w:p>
        </w:tc>
      </w:tr>
      <w:tr w14:paraId="6BB6CC19"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E347B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信息技术</w:t>
            </w:r>
          </w:p>
        </w:tc>
        <w:tc>
          <w:tcPr>
            <w:tcW w:w="3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3A18F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由集团官网与新闻中心覆盖（ 7 Market Technology ）</w:t>
            </w:r>
          </w:p>
        </w:tc>
      </w:tr>
    </w:tbl>
    <w:p w14:paraId="3A731867">
      <w:pPr>
        <w:pStyle w:val="5"/>
        <w:spacing w:before="330"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4.3 竞争对手动态（77 个来源）</w:t>
      </w:r>
    </w:p>
    <w:p w14:paraId="355B4980">
      <w:pPr>
        <w:spacing w:after="135"/>
        <w:jc w:val="both"/>
      </w:pPr>
      <w:r>
        <w:rPr>
          <w:rFonts w:hint="eastAsia" w:ascii="微软雅黑" w:hAnsi="微软雅黑" w:eastAsia="微软雅黑" w:cs="微软雅黑"/>
          <w:sz w:val="18"/>
          <w:lang w:eastAsia="zh-CN"/>
        </w:rPr>
        <w:t>以集团每个子品牌为主体，分别监测其国际竞争者与中国竞争者，详见第五章。</w:t>
      </w:r>
    </w:p>
    <w:p w14:paraId="5B281A62">
      <w:pPr>
        <w:pBdr>
          <w:left w:val="single" w:color="1565C0" w:sz="18" w:space="0"/>
        </w:pBdr>
        <w:shd w:val="clear" w:color="auto" w:fill="F5F7FA"/>
        <w:spacing w:after="270"/>
        <w:jc w:val="both"/>
      </w:pPr>
      <w:r>
        <w:rPr>
          <w:sz w:val="18"/>
        </w:rPr>
        <w:t>  </w:t>
      </w:r>
      <w:r>
        <w:rPr>
          <w:rFonts w:hint="eastAsia" w:ascii="微软雅黑" w:hAnsi="微软雅黑" w:eastAsia="微软雅黑" w:cs="微软雅黑"/>
          <w:sz w:val="18"/>
          <w:lang w:eastAsia="zh-CN"/>
        </w:rPr>
        <w:t>注：以上数量与分组以</w:t>
      </w:r>
      <w:r>
        <w:rPr>
          <w:sz w:val="18"/>
        </w:rPr>
        <w:t xml:space="preserve"> </w:t>
      </w:r>
      <w:r>
        <w:rPr>
          <w:rFonts w:ascii="Courier" w:hAnsi="Courier"/>
          <w:sz w:val="18"/>
        </w:rPr>
        <w:t>sources.json</w:t>
      </w:r>
      <w:r>
        <w:rPr>
          <w:sz w:val="18"/>
        </w:rPr>
        <w:t xml:space="preserve">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注册表为准；个别站点因反爬或</w:t>
      </w:r>
      <w:r>
        <w:rPr>
          <w:sz w:val="18"/>
        </w:rPr>
        <w:t xml:space="preserve"> JS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渲染无法抓取时，采集器自动跳过并在日志中记录，不影响整体运行。</w:t>
      </w:r>
    </w:p>
    <w:p w14:paraId="36792DB5">
      <w:pPr>
        <w:pStyle w:val="4"/>
        <w:pBdr>
          <w:left w:val="single" w:color="1565C0" w:sz="24" w:space="0"/>
        </w:pBdr>
        <w:spacing w:before="650" w:after="390"/>
        <w:jc w:val="left"/>
      </w:pPr>
      <w:bookmarkStart w:id="4" w:name="section-5"/>
      <w:bookmarkEnd w:id="4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五、竞争对手动态</w:t>
      </w:r>
    </w:p>
    <w:p w14:paraId="462D989E">
      <w:pPr>
        <w:spacing w:after="135"/>
        <w:jc w:val="both"/>
      </w:pPr>
      <w:r>
        <w:rPr>
          <w:rFonts w:hint="eastAsia" w:ascii="微软雅黑" w:hAnsi="微软雅黑" w:eastAsia="微软雅黑" w:cs="微软雅黑"/>
          <w:sz w:val="18"/>
          <w:lang w:eastAsia="zh-CN"/>
        </w:rPr>
        <w:t>核心原则：</w:t>
      </w:r>
      <w:r>
        <w:rPr>
          <w:rFonts w:hint="eastAsia" w:ascii="微软雅黑" w:hAnsi="微软雅黑" w:eastAsia="微软雅黑" w:cs="微软雅黑"/>
          <w:b/>
          <w:sz w:val="18"/>
          <w:lang w:eastAsia="zh-CN"/>
        </w:rPr>
        <w:t>以德交所集团旗下每个品牌为独立主体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，每个品牌下列出与其业务直接竞争的机构，并区分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国际竞争者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与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中国竞争者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，逐周跟踪其动态。</w:t>
      </w:r>
    </w:p>
    <w:p w14:paraId="4E590C25">
      <w:pPr>
        <w:pStyle w:val="5"/>
        <w:spacing w:before="330"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5.1 交易与清算板块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1376"/>
        <w:gridCol w:w="2967"/>
        <w:gridCol w:w="2967"/>
      </w:tblGrid>
      <w:tr w14:paraId="01ED8B8C">
        <w:tc>
          <w:tcPr>
            <w:tcW w:w="75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23DAAFA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品牌</w:t>
            </w:r>
          </w:p>
        </w:tc>
        <w:tc>
          <w:tcPr>
            <w:tcW w:w="8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49B70F3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业务定位</w:t>
            </w:r>
          </w:p>
        </w:tc>
        <w:tc>
          <w:tcPr>
            <w:tcW w:w="1725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52E155A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国际竞争者</w:t>
            </w:r>
          </w:p>
        </w:tc>
        <w:tc>
          <w:tcPr>
            <w:tcW w:w="1725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AF20CC3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中国竞争者</w:t>
            </w:r>
          </w:p>
        </w:tc>
      </w:tr>
      <w:tr w14:paraId="562F7BF3"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A04CCA">
            <w:pPr>
              <w:spacing w:before="40" w:after="40" w:line="240" w:lineRule="auto"/>
              <w:jc w:val="left"/>
            </w:pPr>
            <w:r>
              <w:rPr>
                <w:b/>
                <w:sz w:val="16"/>
              </w:rPr>
              <w:t>Eurex</w:t>
            </w:r>
            <w:r>
              <w:rPr>
                <w:sz w:val="16"/>
              </w:rPr>
              <w:t xml:space="preserve"> （欧洲期货交易所）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C08CF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衍生品交易与清算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A549D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CME  集团（含芝加哥商业交易所 / 芝加哥期货交易所 / 纽约商品交易所）、芝加哥期权交易所（ CBOE ）、洲际交易所（ ICE ）、纳斯达克；香港交易所、日本交易所集团、新加坡交易所、马来西亚交易所、印尼 / 泰国证券交易所；阿布扎比、迪拜交易所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25110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— （衍生品领域暂无直接对标）</w:t>
            </w:r>
          </w:p>
        </w:tc>
      </w:tr>
      <w:tr w14:paraId="24897AC9"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B855FB">
            <w:pPr>
              <w:spacing w:before="40" w:after="40" w:line="240" w:lineRule="auto"/>
              <w:jc w:val="left"/>
            </w:pPr>
            <w:r>
              <w:rPr>
                <w:b/>
                <w:sz w:val="16"/>
              </w:rPr>
              <w:t>EEX</w:t>
            </w:r>
            <w:r>
              <w:rPr>
                <w:sz w:val="16"/>
              </w:rPr>
              <w:t xml:space="preserve"> （欧洲能源交易所）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C3D68F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电力、天然气、碳排放权交易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973D0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ICE Endex 、 Nord Pool （北欧电力市场）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7ED321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上海期货交易所、大连商品交易所、上海环境能源交易所、广州碳排放权交易所</w:t>
            </w:r>
          </w:p>
        </w:tc>
      </w:tr>
      <w:tr w14:paraId="60D1D3BB"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F61F49">
            <w:pPr>
              <w:spacing w:before="40" w:after="40" w:line="240" w:lineRule="auto"/>
              <w:jc w:val="left"/>
            </w:pPr>
            <w:r>
              <w:rPr>
                <w:b/>
                <w:sz w:val="16"/>
              </w:rPr>
              <w:t>360T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762D6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机构外汇电子交易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369FE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FXall （ LSEG  旗下）、 Bloomberg FXGO 、 EBS （ CME  旗下）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1C386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中国外汇交易中心（ CFETS ）</w:t>
            </w:r>
          </w:p>
        </w:tc>
      </w:tr>
      <w:tr w14:paraId="261D92C5"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C32C62">
            <w:pPr>
              <w:spacing w:before="40" w:after="40" w:line="240" w:lineRule="auto"/>
              <w:jc w:val="left"/>
            </w:pPr>
            <w:r>
              <w:rPr>
                <w:b/>
                <w:sz w:val="16"/>
              </w:rPr>
              <w:t>Crypto Finance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E3324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数字资产托管与交易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3273D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Coinbase Institutional 、 BitGo 、 Fidelity Digital Assets 、 Gemini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BA4D84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OSL 、 HashKey Exchange （均为香港持牌虚拟资产平台）</w:t>
            </w:r>
          </w:p>
        </w:tc>
      </w:tr>
    </w:tbl>
    <w:p w14:paraId="054BA12E">
      <w:pPr>
        <w:pStyle w:val="5"/>
        <w:spacing w:before="330"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5.2 投资管理解决方案板块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1376"/>
        <w:gridCol w:w="2967"/>
        <w:gridCol w:w="2967"/>
      </w:tblGrid>
      <w:tr w14:paraId="564986E5">
        <w:tc>
          <w:tcPr>
            <w:tcW w:w="75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198D453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品牌</w:t>
            </w:r>
          </w:p>
        </w:tc>
        <w:tc>
          <w:tcPr>
            <w:tcW w:w="8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D6B4559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业务定位</w:t>
            </w:r>
          </w:p>
        </w:tc>
        <w:tc>
          <w:tcPr>
            <w:tcW w:w="1725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38341527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国际竞争者</w:t>
            </w:r>
          </w:p>
        </w:tc>
        <w:tc>
          <w:tcPr>
            <w:tcW w:w="1725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6CE5163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中国竞争者</w:t>
            </w:r>
          </w:p>
        </w:tc>
      </w:tr>
      <w:tr w14:paraId="173C6F1B"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972CF6">
            <w:pPr>
              <w:spacing w:before="40" w:after="40" w:line="240" w:lineRule="auto"/>
              <w:jc w:val="left"/>
            </w:pPr>
            <w:r>
              <w:rPr>
                <w:b/>
                <w:sz w:val="16"/>
              </w:rPr>
              <w:t>SimCorp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41A1B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投资管理软件（前中后台一体化）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754302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伦敦证券交易所集团（ LSEG ）、 BlackRock Aladdin 、 Bloomberg AIM 、 State Street Alpha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7306F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恒生聚源、 ComStar  中汇亿达、国智技术</w:t>
            </w:r>
          </w:p>
        </w:tc>
      </w:tr>
      <w:tr w14:paraId="647E928C"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5F552D">
            <w:pPr>
              <w:spacing w:before="40" w:after="40" w:line="240" w:lineRule="auto"/>
              <w:jc w:val="left"/>
            </w:pPr>
            <w:r>
              <w:rPr>
                <w:b/>
                <w:sz w:val="16"/>
              </w:rPr>
              <w:t>ISS STOXX / STOXX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A5210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指数编制与  ESG  数据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B8C3B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MSCI 、标普道琼斯指数（ S&amp;P DJI ）、富时罗素（ FTSE Russell ）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46454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中证指数有限公司、国证指数（深证信息）</w:t>
            </w:r>
          </w:p>
        </w:tc>
      </w:tr>
    </w:tbl>
    <w:p w14:paraId="4A2668EB">
      <w:pPr>
        <w:pStyle w:val="5"/>
        <w:spacing w:before="330"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5.3 证券服务与基金服务板块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1376"/>
        <w:gridCol w:w="2967"/>
        <w:gridCol w:w="2967"/>
      </w:tblGrid>
      <w:tr w14:paraId="59929C2F">
        <w:tc>
          <w:tcPr>
            <w:tcW w:w="75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5D2D80BF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品牌</w:t>
            </w:r>
          </w:p>
        </w:tc>
        <w:tc>
          <w:tcPr>
            <w:tcW w:w="8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B7351D3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业务定位</w:t>
            </w:r>
          </w:p>
        </w:tc>
        <w:tc>
          <w:tcPr>
            <w:tcW w:w="1725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E19F024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国际竞争者</w:t>
            </w:r>
          </w:p>
        </w:tc>
        <w:tc>
          <w:tcPr>
            <w:tcW w:w="1725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5D23664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中国竞争者</w:t>
            </w:r>
          </w:p>
        </w:tc>
      </w:tr>
      <w:tr w14:paraId="6D438BC0"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F10C27">
            <w:pPr>
              <w:spacing w:before="40" w:after="40" w:line="240" w:lineRule="auto"/>
              <w:jc w:val="left"/>
            </w:pPr>
            <w:r>
              <w:rPr>
                <w:b/>
                <w:sz w:val="16"/>
              </w:rPr>
              <w:t>Clearstream</w:t>
            </w:r>
            <w:r>
              <w:rPr>
                <w:sz w:val="16"/>
              </w:rPr>
              <w:t xml:space="preserve"> （明讯银行）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9A9A5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证券清算、结算与托管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3CC92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Euroclear （欧洲结算体系）、 DTCC （美国存托与清算集团）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7DC79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中央国债登记结算有限责任公司（中央结算）、中国证券登记结算有限责任公司（中国结算）</w:t>
            </w:r>
          </w:p>
        </w:tc>
      </w:tr>
    </w:tbl>
    <w:p w14:paraId="4B4DDC95">
      <w:pPr>
        <w:pStyle w:val="5"/>
        <w:spacing w:before="330"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5.4 信息技术板块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1376"/>
        <w:gridCol w:w="2967"/>
        <w:gridCol w:w="2967"/>
      </w:tblGrid>
      <w:tr w14:paraId="7CFB1E6E">
        <w:tc>
          <w:tcPr>
            <w:tcW w:w="75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C55637D">
            <w:pPr>
              <w:spacing w:before="40" w:after="40" w:line="240" w:lineRule="auto"/>
              <w:jc w:val="left"/>
            </w:pPr>
            <w:bookmarkStart w:id="11" w:name="_GoBack"/>
            <w:bookmarkEnd w:id="11"/>
            <w:r>
              <w:rPr>
                <w:b/>
                <w:color w:val="FFFFFF"/>
                <w:sz w:val="16"/>
              </w:rPr>
              <w:t>品牌</w:t>
            </w:r>
          </w:p>
        </w:tc>
        <w:tc>
          <w:tcPr>
            <w:tcW w:w="8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87600BC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业务定位</w:t>
            </w:r>
          </w:p>
        </w:tc>
        <w:tc>
          <w:tcPr>
            <w:tcW w:w="1725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A3D13E1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国际竞争者</w:t>
            </w:r>
          </w:p>
        </w:tc>
        <w:tc>
          <w:tcPr>
            <w:tcW w:w="1725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BD65141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中国竞争者</w:t>
            </w:r>
          </w:p>
        </w:tc>
      </w:tr>
      <w:tr w14:paraId="11A86D2C">
        <w:tc>
          <w:tcPr>
            <w:tcW w:w="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21DF38">
            <w:pPr>
              <w:spacing w:before="40" w:after="40" w:line="240" w:lineRule="auto"/>
              <w:jc w:val="left"/>
            </w:pPr>
            <w:r>
              <w:rPr>
                <w:b/>
                <w:sz w:val="16"/>
              </w:rPr>
              <w:t>DBG Market Data + Services / 7 Market Technology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2B023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市场数据服务与交易系统技术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C0F17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FIS 、 Broadridge （金融科技基础设施）</w:t>
            </w:r>
          </w:p>
        </w:tc>
        <w:tc>
          <w:tcPr>
            <w:tcW w:w="1725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E74C3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恒生电子、金证股份、华锐技术</w:t>
            </w:r>
          </w:p>
        </w:tc>
      </w:tr>
    </w:tbl>
    <w:p w14:paraId="7C0BB630">
      <w:pPr>
        <w:pStyle w:val="4"/>
        <w:pBdr>
          <w:left w:val="single" w:color="1565C0" w:sz="24" w:space="0"/>
        </w:pBdr>
        <w:spacing w:before="650" w:after="390"/>
        <w:jc w:val="left"/>
      </w:pPr>
      <w:bookmarkStart w:id="5" w:name="section-6"/>
      <w:bookmarkEnd w:id="5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六、三大板块结构（展示顺序固定）</w:t>
      </w:r>
    </w:p>
    <w:p w14:paraId="22A7091D">
      <w:pPr>
        <w:spacing w:after="135"/>
        <w:jc w:val="both"/>
      </w:pPr>
      <w:r>
        <w:rPr>
          <w:rFonts w:hint="eastAsia" w:ascii="微软雅黑" w:hAnsi="微软雅黑" w:eastAsia="微软雅黑" w:cs="微软雅黑"/>
          <w:sz w:val="18"/>
          <w:lang w:eastAsia="zh-CN"/>
        </w:rPr>
        <w:t>周报网页主体按以下顺序展示，板块内可按分组二次筛选：</w:t>
      </w:r>
    </w:p>
    <w:p w14:paraId="4152373F">
      <w:pPr>
        <w:pStyle w:val="14"/>
        <w:numPr>
          <w:ilvl w:val="0"/>
          <w:numId w:val="8"/>
        </w:numPr>
        <w:spacing w:after="54"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宏观政策与监管动态</w:t>
      </w:r>
      <w:r>
        <w:rPr>
          <w:sz w:val="18"/>
        </w:rPr>
        <w:t xml:space="preserve"> —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中国</w:t>
      </w:r>
      <w:r>
        <w:rPr>
          <w:sz w:val="18"/>
        </w:rPr>
        <w:t xml:space="preserve"> /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美国</w:t>
      </w:r>
      <w:r>
        <w:rPr>
          <w:sz w:val="18"/>
        </w:rPr>
        <w:t xml:space="preserve"> /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英国</w:t>
      </w:r>
      <w:r>
        <w:rPr>
          <w:sz w:val="18"/>
        </w:rPr>
        <w:t xml:space="preserve"> /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欧洲</w:t>
      </w:r>
      <w:r>
        <w:rPr>
          <w:sz w:val="18"/>
        </w:rPr>
        <w:t xml:space="preserve"> /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国际组织</w:t>
      </w:r>
      <w:r>
        <w:rPr>
          <w:sz w:val="18"/>
        </w:rPr>
        <w:t xml:space="preserve"> /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亚太</w:t>
      </w:r>
    </w:p>
    <w:p w14:paraId="0F18FCE6">
      <w:pPr>
        <w:pStyle w:val="14"/>
        <w:numPr>
          <w:ilvl w:val="0"/>
          <w:numId w:val="8"/>
        </w:numPr>
        <w:spacing w:after="54"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德交所集团内部动态</w:t>
      </w:r>
      <w:r>
        <w:rPr>
          <w:sz w:val="18"/>
        </w:rPr>
        <w:t xml:space="preserve"> — </w:t>
      </w:r>
      <w:r>
        <w:rPr>
          <w:rFonts w:hint="eastAsia" w:ascii="微软雅黑" w:hAnsi="微软雅黑" w:eastAsia="微软雅黑" w:cs="微软雅黑"/>
          <w:sz w:val="18"/>
          <w:lang w:eastAsia="zh-CN"/>
        </w:rPr>
        <w:t>集团要闻</w:t>
      </w:r>
      <w:r>
        <w:rPr>
          <w:sz w:val="18"/>
        </w:rPr>
        <w:t xml:space="preserve"> /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交易与清算（</w:t>
      </w:r>
      <w:r>
        <w:rPr>
          <w:sz w:val="18"/>
        </w:rPr>
        <w:t>Eurex·EEX·360T·Crypto Finance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</w:t>
      </w:r>
      <w:r>
        <w:rPr>
          <w:sz w:val="18"/>
        </w:rPr>
        <w:t xml:space="preserve">/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投资管理解决方案（</w:t>
      </w:r>
      <w:r>
        <w:rPr>
          <w:sz w:val="18"/>
        </w:rPr>
        <w:t>SimCorp·ISS STOXX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</w:t>
      </w:r>
      <w:r>
        <w:rPr>
          <w:sz w:val="18"/>
        </w:rPr>
        <w:t xml:space="preserve">/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证券与基金服务（</w:t>
      </w:r>
      <w:r>
        <w:rPr>
          <w:sz w:val="18"/>
        </w:rPr>
        <w:t>Clearstream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</w:t>
      </w:r>
      <w:r>
        <w:rPr>
          <w:sz w:val="18"/>
        </w:rPr>
        <w:t xml:space="preserve">/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信息技术</w:t>
      </w:r>
    </w:p>
    <w:p w14:paraId="3CBE688F">
      <w:pPr>
        <w:pStyle w:val="14"/>
        <w:numPr>
          <w:ilvl w:val="0"/>
          <w:numId w:val="8"/>
        </w:numPr>
        <w:spacing w:after="54"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竞争对手动态</w:t>
      </w:r>
      <w:r>
        <w:rPr>
          <w:sz w:val="18"/>
        </w:rPr>
        <w:t xml:space="preserve"> — 9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个子品牌为独立主体，每个品牌下再分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国际竞争者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与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中国竞争者</w:t>
      </w:r>
      <w:r>
        <w:rPr>
          <w:sz w:val="18"/>
        </w:rPr>
        <w:t>"</w:t>
      </w:r>
    </w:p>
    <w:p w14:paraId="2065ABEF">
      <w:pPr>
        <w:pStyle w:val="4"/>
        <w:pBdr>
          <w:left w:val="single" w:color="1565C0" w:sz="24" w:space="0"/>
        </w:pBdr>
        <w:spacing w:before="650" w:after="390"/>
        <w:jc w:val="left"/>
      </w:pPr>
      <w:bookmarkStart w:id="6" w:name="section-7"/>
      <w:bookmarkEnd w:id="6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七、更新频率与自动化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6880"/>
      </w:tblGrid>
      <w:tr w14:paraId="77ADD9C1">
        <w:tc>
          <w:tcPr>
            <w:tcW w:w="10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7A03558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w="40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453F6010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14:paraId="1216A465"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6D4B6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更新频率</w:t>
            </w:r>
          </w:p>
        </w:tc>
        <w:tc>
          <w:tcPr>
            <w:tcW w:w="4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7E54EA">
            <w:pPr>
              <w:spacing w:before="40" w:after="40" w:line="240" w:lineRule="auto"/>
              <w:jc w:val="left"/>
            </w:pPr>
            <w:r>
              <w:rPr>
                <w:b/>
                <w:sz w:val="16"/>
              </w:rPr>
              <w:t>每周一次</w:t>
            </w:r>
            <w:r>
              <w:rPr>
                <w:sz w:val="16"/>
              </w:rPr>
              <w:t xml:space="preserve"> ，每周一早  8:00  自动运行</w:t>
            </w:r>
          </w:p>
        </w:tc>
      </w:tr>
      <w:tr w14:paraId="622C76E6"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F5464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覆盖范围</w:t>
            </w:r>
          </w:p>
        </w:tc>
        <w:tc>
          <w:tcPr>
            <w:tcW w:w="4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59BC62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上一自然周（周一  00:00  至周日  24:00 ）发布的新闻</w:t>
            </w:r>
          </w:p>
        </w:tc>
      </w:tr>
      <w:tr w14:paraId="70487832"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AB550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运行方式</w:t>
            </w:r>
          </w:p>
        </w:tc>
        <w:tc>
          <w:tcPr>
            <w:tcW w:w="4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6D1D9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自动化任务自动调用采集与渲染脚本，无需人工干预</w:t>
            </w:r>
          </w:p>
        </w:tc>
      </w:tr>
      <w:tr w14:paraId="14C661D2"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CF9DD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查看方式</w:t>
            </w:r>
          </w:p>
        </w:tc>
        <w:tc>
          <w:tcPr>
            <w:tcW w:w="4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ECFD1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任务完成后，最新周报到  output/  目录，打开  HTML  即可阅读</w:t>
            </w:r>
          </w:p>
        </w:tc>
      </w:tr>
      <w:tr w14:paraId="4D29FC86"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8B66A1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管理方式</w:t>
            </w:r>
          </w:p>
        </w:tc>
        <w:tc>
          <w:tcPr>
            <w:tcW w:w="4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C04E8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自动化任务可在  WorkBuddy  自动化管理界面查看、修改或暂停</w:t>
            </w:r>
          </w:p>
        </w:tc>
      </w:tr>
    </w:tbl>
    <w:p w14:paraId="29E79396">
      <w:pPr>
        <w:spacing w:after="135"/>
        <w:jc w:val="both"/>
      </w:pPr>
      <w:r>
        <w:rPr>
          <w:rFonts w:hint="eastAsia" w:ascii="微软雅黑" w:hAnsi="微软雅黑" w:eastAsia="微软雅黑" w:cs="微软雅黑"/>
          <w:b/>
          <w:sz w:val="18"/>
          <w:lang w:eastAsia="zh-CN"/>
        </w:rPr>
        <w:t>可选手动运行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（用于补生成指定周）：</w:t>
      </w:r>
    </w:p>
    <w:p w14:paraId="702DBDEF">
      <w:r>
        <w:rPr>
          <w:rFonts w:hint="eastAsia" w:ascii="微软雅黑" w:hAnsi="微软雅黑" w:eastAsia="微软雅黑" w:cs="微软雅黑"/>
          <w:sz w:val="16"/>
          <w:lang w:eastAsia="zh-CN"/>
        </w:rPr>
        <w:t>python3 run_weekly.py                    # 生成上一自然周</w:t>
      </w:r>
      <w:r>
        <w:rPr>
          <w:rFonts w:hint="eastAsia" w:ascii="微软雅黑" w:hAnsi="微软雅黑" w:eastAsia="微软雅黑" w:cs="微软雅黑"/>
          <w:sz w:val="16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6"/>
          <w:lang w:eastAsia="zh-CN"/>
        </w:rPr>
        <w:t>python3 run_weekly.py --start 2026-08-03 # 指定周（周一为起始日）</w:t>
      </w:r>
      <w:r>
        <w:rPr>
          <w:rFonts w:hint="eastAsia" w:ascii="微软雅黑" w:hAnsi="微软雅黑" w:eastAsia="微软雅黑" w:cs="微软雅黑"/>
          <w:sz w:val="16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6"/>
          <w:lang w:eastAsia="zh-CN"/>
        </w:rPr>
        <w:t>python3 run_weekly.py --no-translate     # 跳过标题翻译（更快）</w:t>
      </w:r>
    </w:p>
    <w:p w14:paraId="2DAD09D5">
      <w:pPr>
        <w:pStyle w:val="4"/>
        <w:pBdr>
          <w:left w:val="single" w:color="1565C0" w:sz="24" w:space="0"/>
        </w:pBdr>
        <w:spacing w:before="650" w:after="390"/>
        <w:jc w:val="left"/>
      </w:pPr>
      <w:bookmarkStart w:id="7" w:name="section-8"/>
      <w:bookmarkEnd w:id="7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八、使用操作指南</w:t>
      </w:r>
    </w:p>
    <w:p w14:paraId="03337EF0">
      <w:pPr>
        <w:pStyle w:val="5"/>
        <w:spacing w:before="330"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8.1 打开与阅读</w:t>
      </w:r>
    </w:p>
    <w:p w14:paraId="57FB261C">
      <w:pPr>
        <w:pStyle w:val="14"/>
        <w:numPr>
          <w:ilvl w:val="0"/>
          <w:numId w:val="9"/>
        </w:numPr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进入系统输出目录 </w:t>
      </w:r>
      <w:r>
        <w:rPr>
          <w:rFonts w:ascii="Courier" w:hAnsi="Courier"/>
          <w:sz w:val="18"/>
        </w:rPr>
        <w:t>output/</w:t>
      </w:r>
      <w:r>
        <w:rPr>
          <w:rFonts w:hint="eastAsia" w:ascii="微软雅黑" w:hAnsi="微软雅黑" w:eastAsia="微软雅黑" w:cs="微软雅黑"/>
          <w:sz w:val="18"/>
          <w:lang w:eastAsia="zh-CN"/>
        </w:rPr>
        <w:t xml:space="preserve">，找到最新周报文件（如 </w:t>
      </w:r>
      <w:r>
        <w:rPr>
          <w:rFonts w:ascii="Courier" w:hAnsi="Courier"/>
          <w:sz w:val="18"/>
        </w:rPr>
        <w:t>weekly_report_20260803.html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）。</w:t>
      </w:r>
    </w:p>
    <w:p w14:paraId="5FEBAB7C">
      <w:pPr>
        <w:pStyle w:val="14"/>
        <w:numPr>
          <w:ilvl w:val="0"/>
          <w:numId w:val="9"/>
        </w:numPr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双击文件，用任意浏览器（</w:t>
      </w:r>
      <w:r>
        <w:rPr>
          <w:sz w:val="18"/>
        </w:rPr>
        <w:t xml:space="preserve">Chrome / Edge / Safari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等）打开。</w:t>
      </w:r>
    </w:p>
    <w:p w14:paraId="7DEAD54E">
      <w:pPr>
        <w:pStyle w:val="14"/>
        <w:numPr>
          <w:ilvl w:val="0"/>
          <w:numId w:val="9"/>
        </w:numPr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网页为左侧固定导航</w:t>
      </w:r>
      <w:r>
        <w:rPr>
          <w:sz w:val="18"/>
        </w:rPr>
        <w:t xml:space="preserve"> +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右侧内容区：左侧点击板块，右侧显示对应内容。</w:t>
      </w:r>
    </w:p>
    <w:p w14:paraId="3165A1E1">
      <w:pPr>
        <w:pStyle w:val="5"/>
        <w:spacing w:before="330"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8.2 中英文切换</w:t>
      </w:r>
    </w:p>
    <w:p w14:paraId="707FB2C2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页面右上角有语言切换按钮（中文</w:t>
      </w:r>
      <w:r>
        <w:rPr>
          <w:sz w:val="18"/>
        </w:rPr>
        <w:t xml:space="preserve"> / English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）。</w:t>
      </w:r>
    </w:p>
    <w:p w14:paraId="70DD28B9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点击后全部界面文案与新闻标题即时切换，无需刷新；日期格式同步切换（中文习惯</w:t>
      </w:r>
      <w:r>
        <w:rPr>
          <w:sz w:val="18"/>
        </w:rPr>
        <w:t xml:space="preserve"> 2026</w:t>
      </w:r>
      <w:r>
        <w:rPr>
          <w:rFonts w:hint="eastAsia" w:ascii="微软雅黑" w:hAnsi="微软雅黑" w:eastAsia="微软雅黑" w:cs="微软雅黑"/>
          <w:sz w:val="18"/>
          <w:lang w:eastAsia="zh-CN"/>
        </w:rPr>
        <w:t>年</w:t>
      </w:r>
      <w:r>
        <w:rPr>
          <w:sz w:val="18"/>
        </w:rPr>
        <w:t>8</w:t>
      </w:r>
      <w:r>
        <w:rPr>
          <w:rFonts w:hint="eastAsia" w:ascii="微软雅黑" w:hAnsi="微软雅黑" w:eastAsia="微软雅黑" w:cs="微软雅黑"/>
          <w:sz w:val="18"/>
          <w:lang w:eastAsia="zh-CN"/>
        </w:rPr>
        <w:t>月</w:t>
      </w:r>
      <w:r>
        <w:rPr>
          <w:sz w:val="18"/>
        </w:rPr>
        <w:t>3</w:t>
      </w:r>
      <w:r>
        <w:rPr>
          <w:rFonts w:hint="eastAsia" w:ascii="微软雅黑" w:hAnsi="微软雅黑" w:eastAsia="微软雅黑" w:cs="微软雅黑"/>
          <w:sz w:val="18"/>
          <w:lang w:eastAsia="zh-CN"/>
        </w:rPr>
        <w:t>日，英文</w:t>
      </w:r>
      <w:r>
        <w:rPr>
          <w:sz w:val="18"/>
        </w:rPr>
        <w:t xml:space="preserve"> Aug 3, 2026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）。</w:t>
      </w:r>
    </w:p>
    <w:p w14:paraId="1A2C9B37">
      <w:pPr>
        <w:pStyle w:val="5"/>
        <w:spacing w:before="330"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8.3 折叠 / 展开（手风琴模式）</w:t>
      </w:r>
    </w:p>
    <w:p w14:paraId="781F3123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页面为手风琴折叠布局：默认只显示当前板块内容，其他板块收起。</w:t>
      </w:r>
    </w:p>
    <w:p w14:paraId="09670065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在左侧导航或板块标题栏点击任一板块，该板块展开、其余自动收起，便于聚焦阅读。</w:t>
      </w:r>
    </w:p>
    <w:p w14:paraId="65DAEC4A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板块标题栏的箭头指示当前展开</w:t>
      </w:r>
      <w:r>
        <w:rPr>
          <w:sz w:val="18"/>
        </w:rPr>
        <w:t>/</w:t>
      </w:r>
      <w:r>
        <w:rPr>
          <w:rFonts w:hint="eastAsia" w:ascii="微软雅黑" w:hAnsi="微软雅黑" w:eastAsia="微软雅黑" w:cs="微软雅黑"/>
          <w:sz w:val="18"/>
          <w:lang w:eastAsia="zh-CN"/>
        </w:rPr>
        <w:t>收起状态。</w:t>
      </w:r>
    </w:p>
    <w:p w14:paraId="1984AD2E">
      <w:pPr>
        <w:pStyle w:val="5"/>
        <w:spacing w:before="330"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8.4 板块内二级筛选</w:t>
      </w:r>
    </w:p>
    <w:p w14:paraId="3EED3152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每个板块顶部有分组筛选标签（如宏观板块的中国</w:t>
      </w:r>
      <w:r>
        <w:rPr>
          <w:sz w:val="18"/>
        </w:rPr>
        <w:t>/</w:t>
      </w:r>
      <w:r>
        <w:rPr>
          <w:rFonts w:hint="eastAsia" w:ascii="微软雅黑" w:hAnsi="微软雅黑" w:eastAsia="微软雅黑" w:cs="微软雅黑"/>
          <w:sz w:val="18"/>
          <w:lang w:eastAsia="zh-CN"/>
        </w:rPr>
        <w:t>美国</w:t>
      </w:r>
      <w:r>
        <w:rPr>
          <w:sz w:val="18"/>
        </w:rPr>
        <w:t>/</w:t>
      </w:r>
      <w:r>
        <w:rPr>
          <w:rFonts w:hint="eastAsia" w:ascii="微软雅黑" w:hAnsi="微软雅黑" w:eastAsia="微软雅黑" w:cs="微软雅黑"/>
          <w:sz w:val="18"/>
          <w:lang w:eastAsia="zh-CN"/>
        </w:rPr>
        <w:t>英国</w:t>
      </w:r>
      <w:r>
        <w:rPr>
          <w:sz w:val="18"/>
        </w:rPr>
        <w:t>/</w:t>
      </w:r>
      <w:r>
        <w:rPr>
          <w:rFonts w:hint="eastAsia" w:ascii="微软雅黑" w:hAnsi="微软雅黑" w:eastAsia="微软雅黑" w:cs="微软雅黑"/>
          <w:sz w:val="18"/>
          <w:lang w:eastAsia="zh-CN"/>
        </w:rPr>
        <w:t>欧洲</w:t>
      </w:r>
      <w:r>
        <w:rPr>
          <w:sz w:val="18"/>
        </w:rPr>
        <w:t>/</w:t>
      </w:r>
      <w:r>
        <w:rPr>
          <w:rFonts w:hint="eastAsia" w:ascii="微软雅黑" w:hAnsi="微软雅黑" w:eastAsia="微软雅黑" w:cs="微软雅黑"/>
          <w:sz w:val="18"/>
          <w:lang w:eastAsia="zh-CN"/>
        </w:rPr>
        <w:t>国际组织</w:t>
      </w:r>
      <w:r>
        <w:rPr>
          <w:sz w:val="18"/>
        </w:rPr>
        <w:t>/</w:t>
      </w:r>
      <w:r>
        <w:rPr>
          <w:rFonts w:hint="eastAsia" w:ascii="微软雅黑" w:hAnsi="微软雅黑" w:eastAsia="微软雅黑" w:cs="微软雅黑"/>
          <w:sz w:val="18"/>
          <w:lang w:eastAsia="zh-CN"/>
        </w:rPr>
        <w:t>亚太；竞争者板块的子品牌标签）。</w:t>
      </w:r>
    </w:p>
    <w:p w14:paraId="7CC06970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点击标签可只看某一分组内容；标签高亮表示当前筛选状态。</w:t>
      </w:r>
    </w:p>
    <w:p w14:paraId="20A24F39">
      <w:pPr>
        <w:pStyle w:val="5"/>
        <w:spacing w:before="330"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8.5 本期导读</w:t>
      </w:r>
    </w:p>
    <w:p w14:paraId="1F7F329D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页面顶部为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本期导读</w:t>
      </w:r>
      <w:r>
        <w:rPr>
          <w:sz w:val="18"/>
        </w:rPr>
        <w:t xml:space="preserve"> / Highlights"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，汇总本周每板块最重要的</w:t>
      </w:r>
      <w:r>
        <w:rPr>
          <w:sz w:val="18"/>
        </w:rPr>
        <w:t xml:space="preserve"> 1–2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条官方新闻（共</w:t>
      </w:r>
      <w:r>
        <w:rPr>
          <w:sz w:val="18"/>
        </w:rPr>
        <w:t xml:space="preserve"> 3–5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条）。</w:t>
      </w:r>
    </w:p>
    <w:p w14:paraId="1FAF9021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每条导读均带原文链接，点击直达新闻原文页面。</w:t>
      </w:r>
    </w:p>
    <w:p w14:paraId="75F52DEE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导读内容随每周数据自动更新。</w:t>
      </w:r>
    </w:p>
    <w:p w14:paraId="17176369">
      <w:pPr>
        <w:pStyle w:val="5"/>
        <w:spacing w:before="330"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8.6 新闻条目信息</w:t>
      </w:r>
    </w:p>
    <w:p w14:paraId="1E202975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每条新闻展示：标题（中英双语）、发布日期、来源机构。</w:t>
      </w:r>
    </w:p>
    <w:p w14:paraId="600915E7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点击新闻标题即跳转原文官网，方便溯源核对。</w:t>
      </w:r>
    </w:p>
    <w:p w14:paraId="65B6440F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若某分组本周无符合条件的新闻，自动显示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本周暂无更新</w:t>
      </w:r>
      <w:r>
        <w:rPr>
          <w:sz w:val="18"/>
        </w:rPr>
        <w:t>"</w:t>
      </w:r>
      <w:r>
        <w:rPr>
          <w:rFonts w:hint="eastAsia" w:ascii="微软雅黑" w:hAnsi="微软雅黑" w:eastAsia="微软雅黑" w:cs="微软雅黑"/>
          <w:sz w:val="18"/>
          <w:lang w:eastAsia="zh-CN"/>
        </w:rPr>
        <w:t>，不会出现空页。</w:t>
      </w:r>
    </w:p>
    <w:p w14:paraId="7EF3CF85">
      <w:pPr>
        <w:pStyle w:val="5"/>
        <w:spacing w:before="330" w:after="165"/>
        <w:jc w:val="left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8.7 输出文件说明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5090"/>
      </w:tblGrid>
      <w:tr w14:paraId="6B193FCC">
        <w:tc>
          <w:tcPr>
            <w:tcW w:w="19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5E632CA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文件</w:t>
            </w:r>
          </w:p>
        </w:tc>
        <w:tc>
          <w:tcPr>
            <w:tcW w:w="31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FC3A96D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14:paraId="536089B7">
        <w:tc>
          <w:tcPr>
            <w:tcW w:w="1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DB213A">
            <w:pPr>
              <w:spacing w:before="40" w:after="40" w:line="240" w:lineRule="auto"/>
              <w:jc w:val="left"/>
            </w:pPr>
            <w:r>
              <w:rPr>
                <w:rFonts w:ascii="Courier" w:hAnsi="Courier"/>
                <w:sz w:val="16"/>
              </w:rPr>
              <w:t>weekly_report_YYYYMMDD.html</w:t>
            </w:r>
          </w:p>
        </w:tc>
        <w:tc>
          <w:tcPr>
            <w:tcW w:w="3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DE83B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最终周报（自包含，双击即读）</w:t>
            </w:r>
          </w:p>
        </w:tc>
      </w:tr>
      <w:tr w14:paraId="525A0891">
        <w:tc>
          <w:tcPr>
            <w:tcW w:w="1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DFD6BF">
            <w:pPr>
              <w:spacing w:before="40" w:after="40" w:line="240" w:lineRule="auto"/>
              <w:jc w:val="left"/>
            </w:pPr>
            <w:r>
              <w:rPr>
                <w:rFonts w:ascii="Courier" w:hAnsi="Courier"/>
                <w:sz w:val="16"/>
              </w:rPr>
              <w:t>weekly_data_YYYYMMDD.json</w:t>
            </w:r>
          </w:p>
        </w:tc>
        <w:tc>
          <w:tcPr>
            <w:tcW w:w="3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89273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结构化数据备份（含全部新闻元数据）</w:t>
            </w:r>
          </w:p>
        </w:tc>
      </w:tr>
      <w:tr w14:paraId="3C67DA00">
        <w:tc>
          <w:tcPr>
            <w:tcW w:w="1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291C26">
            <w:pPr>
              <w:spacing w:before="40" w:after="40" w:line="240" w:lineRule="auto"/>
              <w:jc w:val="left"/>
            </w:pPr>
            <w:r>
              <w:rPr>
                <w:rFonts w:ascii="Courier" w:hAnsi="Courier"/>
                <w:sz w:val="16"/>
              </w:rPr>
              <w:t>raw/weekly_YYYYMMDD_YYYYMMDD.json</w:t>
            </w:r>
          </w:p>
        </w:tc>
        <w:tc>
          <w:tcPr>
            <w:tcW w:w="3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388714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采集原始数据（过滤去重前）</w:t>
            </w:r>
          </w:p>
        </w:tc>
      </w:tr>
      <w:tr w14:paraId="3B6A4A02">
        <w:tc>
          <w:tcPr>
            <w:tcW w:w="1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263F80">
            <w:pPr>
              <w:spacing w:before="40" w:after="40" w:line="240" w:lineRule="auto"/>
              <w:jc w:val="left"/>
            </w:pPr>
            <w:r>
              <w:rPr>
                <w:rFonts w:ascii="Courier" w:hAnsi="Courier"/>
                <w:sz w:val="16"/>
              </w:rPr>
              <w:t>logs/collect_YYYYMMDD.log</w:t>
            </w:r>
          </w:p>
        </w:tc>
        <w:tc>
          <w:tcPr>
            <w:tcW w:w="3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92CF2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采集日志（每个来源的成功 / 失败记录）</w:t>
            </w:r>
          </w:p>
        </w:tc>
      </w:tr>
    </w:tbl>
    <w:p w14:paraId="631BA41A">
      <w:pPr>
        <w:pStyle w:val="4"/>
        <w:pBdr>
          <w:left w:val="single" w:color="1565C0" w:sz="24" w:space="0"/>
        </w:pBdr>
        <w:spacing w:before="650" w:after="390"/>
        <w:jc w:val="left"/>
      </w:pPr>
      <w:bookmarkStart w:id="8" w:name="section-9"/>
      <w:bookmarkEnd w:id="8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九、数据处理规则（保证质量）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7052"/>
      </w:tblGrid>
      <w:tr w14:paraId="7EB51311">
        <w:tc>
          <w:tcPr>
            <w:tcW w:w="9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72D22A65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w="41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29DAF1D2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14:paraId="3F03EBE9"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7525EF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自然周过滤</w:t>
            </w:r>
          </w:p>
        </w:tc>
        <w:tc>
          <w:tcPr>
            <w:tcW w:w="4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5311B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以来源页面标注的发布日期为准，只保留落在目标周（周一至周日）的新闻；无法确认日期的条目直接丢弃</w:t>
            </w:r>
          </w:p>
        </w:tc>
      </w:tr>
      <w:tr w14:paraId="53DC0176"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EBBBA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官方优先去重</w:t>
            </w:r>
          </w:p>
        </w:tc>
        <w:tc>
          <w:tcPr>
            <w:tcW w:w="4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15903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同一事件多来源报道时，优先保留官方新闻稿（ priority=1 ），其次按发布日期取早者</w:t>
            </w:r>
          </w:p>
        </w:tc>
      </w:tr>
      <w:tr w14:paraId="77A41415"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C0698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条数上限</w:t>
            </w:r>
          </w:p>
        </w:tc>
        <w:tc>
          <w:tcPr>
            <w:tcW w:w="4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9A3B3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每个来源每周最多保留  10  条（官方）或  5  条（媒体），保证  15  分钟阅读时长</w:t>
            </w:r>
          </w:p>
        </w:tc>
      </w:tr>
      <w:tr w14:paraId="5390CE5E"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5BD2C3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容错机制</w:t>
            </w:r>
          </w:p>
        </w:tc>
        <w:tc>
          <w:tcPr>
            <w:tcW w:w="4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626A5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单个站点抓取失败不影响整体；反爬  / JS  渲染站点记入日志，对应分组显示 " 本周暂无更新 "</w:t>
            </w:r>
          </w:p>
        </w:tc>
      </w:tr>
      <w:tr w14:paraId="677FFE1A"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26EB2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标题翻译</w:t>
            </w:r>
          </w:p>
        </w:tc>
        <w:tc>
          <w:tcPr>
            <w:tcW w:w="4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57583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使用免费翻译接口对标题进行中英互译；翻译失败自动回退显示原文，不影响可读性</w:t>
            </w:r>
          </w:p>
        </w:tc>
      </w:tr>
    </w:tbl>
    <w:p w14:paraId="78EE1936">
      <w:pPr>
        <w:pStyle w:val="4"/>
        <w:pBdr>
          <w:left w:val="single" w:color="1565C0" w:sz="24" w:space="0"/>
        </w:pBdr>
        <w:spacing w:before="650" w:after="390"/>
        <w:jc w:val="left"/>
      </w:pPr>
      <w:bookmarkStart w:id="9" w:name="section-10"/>
      <w:bookmarkEnd w:id="9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十、已知限制与说明</w:t>
      </w:r>
    </w:p>
    <w:p w14:paraId="7599EDC8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部分国际站点（</w:t>
      </w:r>
      <w:r>
        <w:rPr>
          <w:sz w:val="18"/>
        </w:rPr>
        <w:t>Bloomberg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、</w:t>
      </w:r>
      <w:r>
        <w:rPr>
          <w:sz w:val="18"/>
        </w:rPr>
        <w:t>Reuters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、</w:t>
      </w:r>
      <w:r>
        <w:rPr>
          <w:sz w:val="18"/>
        </w:rPr>
        <w:t>WSJ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、</w:t>
      </w:r>
      <w:r>
        <w:rPr>
          <w:sz w:val="18"/>
        </w:rPr>
        <w:t>FT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、</w:t>
      </w:r>
      <w:r>
        <w:rPr>
          <w:sz w:val="18"/>
        </w:rPr>
        <w:t xml:space="preserve">CME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等）存在反爬或网络不可达，采集器自动跳过并记入日志。</w:t>
      </w:r>
    </w:p>
    <w:p w14:paraId="3A20DDDF">
      <w:pPr>
        <w:pStyle w:val="16"/>
        <w:spacing w:after="54"/>
      </w:pPr>
      <w:r>
        <w:rPr>
          <w:sz w:val="18"/>
        </w:rPr>
        <w:t xml:space="preserve">Clearstream / SimCorp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等少数官网新闻列表为</w:t>
      </w:r>
      <w:r>
        <w:rPr>
          <w:sz w:val="18"/>
        </w:rPr>
        <w:t xml:space="preserve"> JS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动态渲染，静态抓取无法取全；其重大新闻通常经集团新闻中心覆盖。</w:t>
      </w:r>
    </w:p>
    <w:p w14:paraId="05182914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标题翻译仅针对标题（免费接口），正文不翻译；如需全文翻译可点击原文链接自行查看。</w:t>
      </w:r>
    </w:p>
    <w:p w14:paraId="4B8E6E5E">
      <w:pPr>
        <w:pStyle w:val="16"/>
        <w:spacing w:after="54"/>
      </w:pPr>
      <w:r>
        <w:rPr>
          <w:rFonts w:hint="eastAsia" w:ascii="微软雅黑" w:hAnsi="微软雅黑" w:eastAsia="微软雅黑" w:cs="微软雅黑"/>
          <w:sz w:val="18"/>
          <w:lang w:eastAsia="zh-CN"/>
        </w:rPr>
        <w:t>自动化运行依赖运行环境可用；若错过生成时间，可随时手动运行脚本补生成。</w:t>
      </w:r>
    </w:p>
    <w:p w14:paraId="6E0E18B5">
      <w:pPr>
        <w:pStyle w:val="4"/>
        <w:pBdr>
          <w:left w:val="single" w:color="1565C0" w:sz="24" w:space="0"/>
        </w:pBdr>
        <w:spacing w:after="390"/>
        <w:jc w:val="left"/>
      </w:pPr>
      <w:bookmarkStart w:id="10" w:name="section-11"/>
      <w:bookmarkEnd w:id="10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附：快速查阅表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6536"/>
      </w:tblGrid>
      <w:tr w14:paraId="5B96C20A">
        <w:tc>
          <w:tcPr>
            <w:tcW w:w="12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6FB4F044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w="3800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1562F7B6">
            <w:pPr>
              <w:spacing w:before="40" w:after="40" w:line="240" w:lineRule="auto"/>
              <w:jc w:val="left"/>
            </w:pPr>
            <w:r>
              <w:rPr>
                <w:b/>
                <w:color w:val="FFFFFF"/>
                <w:sz w:val="16"/>
              </w:rPr>
              <w:t>内容</w:t>
            </w:r>
          </w:p>
        </w:tc>
      </w:tr>
      <w:tr w14:paraId="64A77B69"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BBA0B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系统名称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763852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德交所集团北京代表处  ·  周报简报系统</w:t>
            </w:r>
          </w:p>
        </w:tc>
      </w:tr>
      <w:tr w14:paraId="4640F5B1"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D08FD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更新频率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DB3B09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每周一早  8:00  自动生成</w:t>
            </w:r>
          </w:p>
        </w:tc>
      </w:tr>
      <w:tr w14:paraId="5250F716"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124B4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覆盖周期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26183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上一自然周（周一至周日）</w:t>
            </w:r>
          </w:p>
        </w:tc>
      </w:tr>
      <w:tr w14:paraId="49A47CA4"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30608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阅读时长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6EEA86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约  15  分钟</w:t>
            </w:r>
          </w:p>
        </w:tc>
      </w:tr>
      <w:tr w14:paraId="0A528C16"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D26D9E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语言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FFE76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中  /  英双语即时切换</w:t>
            </w:r>
          </w:p>
        </w:tc>
      </w:tr>
      <w:tr w14:paraId="65711217"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49EFA1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信息源数量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A8BF2B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217  个官方与权威来源</w:t>
            </w:r>
          </w:p>
        </w:tc>
      </w:tr>
      <w:tr w14:paraId="190419CD"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AB841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板块数量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5EDBAD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  大板块（宏观  128  源  /  集团  12  源  /  竞争  77  源）</w:t>
            </w:r>
          </w:p>
        </w:tc>
      </w:tr>
      <w:tr w14:paraId="24300511"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E17A9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竞争对手主体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10CD97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9  个子品牌（ Eurex 、 EEX 、 360T 、 Crypto Finance 、 SimCorp 、 ISS STOXX/STOXX 、 Clearstream 、 DBG Market Data ）</w:t>
            </w:r>
          </w:p>
        </w:tc>
      </w:tr>
      <w:tr w14:paraId="5357768F"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DFBA3C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输出格式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CD1F12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自包含  HTML  网页  + JSON  数据备份</w:t>
            </w:r>
          </w:p>
        </w:tc>
      </w:tr>
    </w:tbl>
    <w:p w14:paraId="1510D816"/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IN Nex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6" w:lineRule="auto"/>
      </w:pPr>
      <w:r>
        <w:separator/>
      </w:r>
    </w:p>
  </w:footnote>
  <w:footnote w:type="continuationSeparator" w:id="1">
    <w:p>
      <w:pPr>
        <w:spacing w:before="0" w:after="0" w:line="32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F48F7B"/>
    <w:rsid w:val="77DE1C89"/>
    <w:rsid w:val="7EFF751E"/>
    <w:rsid w:val="AFBAAA41"/>
    <w:rsid w:val="BFB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6" w:lineRule="auto"/>
    </w:pPr>
    <w:rPr>
      <w:rFonts w:ascii="微软雅黑" w:hAnsi="微软雅黑" w:eastAsia="微软雅黑" w:cstheme="minorBidi"/>
      <w:color w:val="212121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18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。</cp:lastModifiedBy>
  <dcterms:modified xsi:type="dcterms:W3CDTF">2026-08-13T14:57:03Z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2374A69FD5D71CFEEF647D6AD2811286_42</vt:lpwstr>
  </property>
</Properties>
</file>