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Bilguun Batsukh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U.S, Washington D.C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• +1 703-200-0325 • bilguuntech.netlify.app •  batsukhbilguun999@gmail.com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Northern Virginia Community College–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Virginia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Alexandria                                                                                                                                Graduation May 2026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 of Science in Computer Science,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GPA: 3.75                                                      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Student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Java, C++, Python, Javascript, MathLab, 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react, next.js, tailwind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Codepath Front End web developer, Quantum Computing (powered by IBM, MIT)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Steppe Link - UX/UI designer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|Ulaanbaatar, Mongolia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2023 – Sep 2023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the successful transition of the R3 educational training center to online education as measured by creating a fully functional and visually engaging website and the logo by independently designing all web pages, crafting the brand identity, and contributing innovative ideas and features to enhance the user experience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ICT Group - FrontEnd Developer Intern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Ulaanbaatar, Mongolia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2022 – Sep 2022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foundational expertise in front-end development as measured by gaining proficiency in React and diverse frameworks by actively learning and applying front-end technologies during a four-month internship at ICT Group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DIGITAL INCLUSION CHALLENGE EMBRACING DIGITAL EDUCATION FOR 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(UNITED 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 top 30 placement among 300 teams globally by competing in a United Nations hackathon, contributing to all aspects of teamwork, and helping define the team's main idea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Data-Structure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proficiency in algorithmic thinking and memory-efficient problem solving through intensive practice with arrays, linked lists, trees, graphs, and hash maps. Applied these concepts in LeetCode challenges and class projects using Java.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Gained a solid foundation in OOP principles such as encapsulation, inheritance, polymorphism, and abstraction. Built modular and reusable applications in Java, emphasizing clean code, class hierarchies, and real-world modeling.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 Education IT 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Student government president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 2024  – June 2024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Organized and managed school-wide events, fostering community engagement and participation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faculty to develop curriculum improvements, enhancing the quality of educational offerings for students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