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lns0c4nae3fm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Bilguun Batsukh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U.S, Washington D.C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• +1 703-200-0325 • Batsukhbilguun999@gmail.com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Northern Virginia Community College–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Virginia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Alexandria                                                                                                                                Graduation May 2026 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Associate of Science in Computer Science,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GPA: 3.75                                                       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Honors Student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Java, C++, Python, Javascript, MathLab, SQL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react, next.js, tailwind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Codepath Front End web developer, Quantum Computing (powered by IBM, MIT)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Steppe Link - UX/UI designer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|Ulaanbaatar, Mongolia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2023 – Sep 2023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the successful transition of the R3 educational training center to online education as measured by creating a fully functional and visually engaging website and the logo by independently designing all web pages, crafting the brand identity, and contributing innovative ideas and features to enhance the user experience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ICT Group - FrontEnd Developer Intern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Ulaanbaatar, Mongolia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2022 – Sep 2022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foundational expertise in front-end development as measured by gaining proficiency in React and diverse frameworks by actively learning and applying front-end technologies during a four-month internship at ICT Group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DIGITAL INCLUSION CHALLENGE EMBRACING DIGITAL EDUCATION FOR 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(UNITED NATION)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a top 30 placement among 300 teams globally by competing in a United Nations hackathon, contributing to all aspects of teamwork, and helping define the team's main idea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HobbyHub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github.com/6bilguun9/lastProjectCodePath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proficiency in building full-stack applications as measured by developing real-time features and CRUD functionality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React, Supabase, HTML, CSS, Figma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WeatherApp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github.com/6bilguun9/WeatherApp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Accomplished real-time weather data integration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measured by developing a location-based WeatherApp by learning and applying API usage and data transformation techniques in a React environment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React, API, HTML, CSS, Figma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LEADERSHIP &amp; 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Nest Education IT School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Student government president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August 2024  – June 2024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Organized and managed school-wide events, fostering community engagement and participation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faculty to develop curriculum improvements, enhancing the quality of educational offerings for students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