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92191">
      <w:pPr>
        <w:rPr>
          <w:rFonts w:hint="eastAsia" w:ascii="宋体" w:hAnsi="宋体" w:cs="宋体"/>
          <w:bCs/>
          <w:sz w:val="40"/>
          <w:szCs w:val="48"/>
        </w:rPr>
      </w:pPr>
      <w:r>
        <w:rPr>
          <w:rFonts w:hint="eastAsia" w:ascii="宋体" w:hAnsi="宋体" w:cs="宋体"/>
          <w:bCs/>
          <w:sz w:val="40"/>
          <w:szCs w:val="48"/>
        </w:rPr>
        <w:pict>
          <v:shape id="_x0000_i1025" o:spt="136" type="#_x0000_t136" style="height:110.9pt;width:421.45pt;" fillcolor="#FF0000" filled="t" stroked="t" coordsize="21600,21600" adj="10800">
            <v:path/>
            <v:fill on="t" color2="#FFFFFF" focussize="0,0"/>
            <v:stroke color="#FF0000" dashstyle="1 1" endcap="round"/>
            <v:imagedata o:title=""/>
            <o:lock v:ext="edit" aspectratio="f"/>
            <v:textpath on="t" fitshape="t" fitpath="t" trim="t" xscale="f" string="交通事故分析报告" style="font-family:方正小标宋简体;font-size:28pt;v-rotate-letters:f;v-same-letter-heights:f;v-text-align:center;"/>
            <w10:wrap type="none"/>
            <w10:anchorlock/>
          </v:shape>
        </w:pict>
      </w:r>
    </w:p>
    <w:p w14:paraId="5E35A8EF">
      <w:pPr>
        <w:rPr>
          <w:rFonts w:hint="eastAsia" w:ascii="黑体" w:hAnsi="黑体" w:eastAsia="黑体" w:cs="黑体"/>
          <w:sz w:val="32"/>
          <w:szCs w:val="40"/>
          <w:lang w:eastAsia="zh-CN"/>
        </w:rPr>
      </w:pPr>
      <w:r>
        <w:rPr>
          <w:rFonts w:hint="eastAsia" w:ascii="宋体" w:hAnsi="宋体" w:cs="宋体"/>
          <w:b/>
          <w:bCs/>
          <w:sz w:val="44"/>
          <w:szCs w:val="4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132715</wp:posOffset>
                </wp:positionV>
                <wp:extent cx="5429250" cy="3175"/>
                <wp:effectExtent l="0" t="9525" r="19050" b="12700"/>
                <wp:wrapNone/>
                <wp:docPr id="1" name="肘形连接符 1"/>
                <wp:cNvGraphicFramePr/>
                <a:graphic xmlns:a="http://schemas.openxmlformats.org/drawingml/2006/main">
                  <a:graphicData uri="http://schemas.microsoft.com/office/word/2010/wordprocessingShape">
                    <wps:wsp>
                      <wps:cNvCnPr/>
                      <wps:spPr>
                        <a:xfrm>
                          <a:off x="0" y="0"/>
                          <a:ext cx="5429250" cy="3175"/>
                        </a:xfrm>
                        <a:prstGeom prst="bentConnector2">
                          <a:avLst/>
                        </a:prstGeom>
                        <a:ln w="19050" cap="flat" cmpd="sng">
                          <a:solidFill>
                            <a:srgbClr val="FF0000"/>
                          </a:solidFill>
                          <a:prstDash val="solid"/>
                          <a:miter/>
                          <a:headEnd type="none" w="med" len="med"/>
                          <a:tailEnd type="none" w="med" len="med"/>
                        </a:ln>
                      </wps:spPr>
                      <wps:bodyPr/>
                    </wps:wsp>
                  </a:graphicData>
                </a:graphic>
              </wp:anchor>
            </w:drawing>
          </mc:Choice>
          <mc:Fallback>
            <w:pict>
              <v:shape id="_x0000_s1026" o:spid="_x0000_s1026" o:spt="33" type="#_x0000_t33" style="position:absolute;left:0pt;margin-left:0.3pt;margin-top:10.45pt;height:0.25pt;width:427.5pt;z-index:251659264;mso-width-relative:page;mso-height-relative:page;" filled="f" stroked="t" coordsize="21600,21600" o:gfxdata="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o4Ym1QAAAAYBAAAPAAAAAAAAAAEAIAAAACIAAABkcnMvZG93bnJl&#10;di54bWxQSwECFAAUAAAACACHTuJAsLJpRwACAADwAwAADgAAAAAAAAABACAAAAAkAQAAZHJzL2Uy&#10;b0RvYy54bWxQSwUGAAAAAAYABgBZAQAAlgUAAAAA&#10;">
                <v:fill on="f" focussize="0,0"/>
                <v:stroke weight="1.5pt" color="#FF0000" joinstyle="miter"/>
                <v:imagedata o:title=""/>
                <o:lock v:ext="edit" aspectratio="f"/>
              </v:shape>
            </w:pict>
          </mc:Fallback>
        </mc:AlternateContent>
      </w:r>
    </w:p>
    <w:p w14:paraId="2D12AC91">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default" w:ascii="黑体" w:hAnsi="黑体" w:eastAsia="黑体" w:cs="黑体"/>
          <w:kern w:val="2"/>
          <w:sz w:val="32"/>
          <w:szCs w:val="40"/>
          <w:lang w:val="en-US" w:eastAsia="zh-CN" w:bidi="ar-SA"/>
        </w:rPr>
      </w:pPr>
      <w:r>
        <w:rPr>
          <w:rFonts w:hint="eastAsia" w:ascii="黑体" w:hAnsi="黑体" w:eastAsia="黑体" w:cs="黑体"/>
          <w:kern w:val="2"/>
          <w:sz w:val="32"/>
          <w:szCs w:val="40"/>
          <w:lang w:val="en-US" w:eastAsia="zh-CN" w:bidi="ar-SA"/>
        </w:rPr>
        <w:t>本报告时间段为：</w:t>
      </w:r>
      <w:r>
        <w:rPr>
          <w:rFonts w:hint="eastAsia" w:ascii="仿宋_GB2312" w:hAnsi="仿宋_GB2312" w:eastAsia="仿宋_GB2312" w:cs="仿宋_GB2312"/>
          <w:sz w:val="32"/>
          <w:szCs w:val="40"/>
          <w:lang w:val="en-US" w:eastAsia="zh-CN"/>
        </w:rPr>
        <w:t>{$total_time_slot}</w:t>
      </w:r>
    </w:p>
    <w:p w14:paraId="5887CB9B">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eastAsia" w:ascii="黑体" w:hAnsi="黑体" w:eastAsia="黑体" w:cs="黑体"/>
          <w:sz w:val="32"/>
          <w:szCs w:val="40"/>
          <w:lang w:eastAsia="zh-CN"/>
        </w:rPr>
      </w:pPr>
      <w:r>
        <w:rPr>
          <w:rFonts w:hint="eastAsia" w:ascii="黑体" w:hAnsi="黑体" w:eastAsia="黑体" w:cs="黑体"/>
          <w:kern w:val="2"/>
          <w:sz w:val="32"/>
          <w:szCs w:val="40"/>
          <w:lang w:val="en-US" w:eastAsia="zh-CN" w:bidi="ar-SA"/>
        </w:rPr>
        <w:t>一、</w:t>
      </w:r>
      <w:r>
        <w:rPr>
          <w:rFonts w:hint="eastAsia" w:ascii="黑体" w:hAnsi="黑体" w:eastAsia="黑体" w:cs="黑体"/>
          <w:sz w:val="32"/>
          <w:szCs w:val="40"/>
          <w:lang w:eastAsia="zh-CN"/>
        </w:rPr>
        <w:t>整体情况分析</w:t>
      </w:r>
    </w:p>
    <w:p w14:paraId="2F0FC409">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sz w:val="32"/>
          <w:szCs w:val="40"/>
          <w:lang w:val="en-US" w:eastAsia="zh-CN"/>
        </w:rPr>
      </w:pPr>
      <w:r>
        <w:rPr>
          <w:rFonts w:hint="eastAsia" w:ascii="楷体_GB2312" w:hAnsi="楷体_GB2312" w:eastAsia="楷体_GB2312" w:cs="楷体_GB2312"/>
          <w:b/>
          <w:bCs/>
          <w:sz w:val="32"/>
          <w:szCs w:val="40"/>
          <w:lang w:val="en-US" w:eastAsia="zh-CN"/>
        </w:rPr>
        <w:t>本时间段辖区道路交通事故。</w:t>
      </w:r>
      <w:r>
        <w:rPr>
          <w:rFonts w:hint="eastAsia" w:ascii="仿宋_GB2312" w:hAnsi="仿宋_GB2312" w:eastAsia="仿宋_GB2312" w:cs="仿宋_GB2312"/>
          <w:sz w:val="32"/>
          <w:szCs w:val="40"/>
          <w:lang w:val="en-US" w:eastAsia="zh-CN"/>
        </w:rPr>
        <w:t>{$total_ts}，辖区共计发生道路交通事故{$total_a}起，受伤{$total_c}人，亡{$total_d}人。发生简易交通事故{$simple_a}起，受伤{$simple_c}人。发生一般交通事故{$general_a}起，受伤{$general_c}人，亡{$general_d}人。</w:t>
      </w:r>
    </w:p>
    <w:p w14:paraId="221A7693">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0" w:firstLineChars="200"/>
        <w:jc w:val="left"/>
        <w:textAlignment w:val="auto"/>
        <w:rPr>
          <w:rFonts w:hint="eastAsia" w:ascii="黑体" w:hAnsi="黑体" w:eastAsia="黑体" w:cs="黑体"/>
          <w:sz w:val="32"/>
          <w:szCs w:val="40"/>
          <w:lang w:val="en-US" w:eastAsia="zh-CN"/>
        </w:rPr>
      </w:pPr>
      <w:r>
        <w:rPr>
          <w:rFonts w:hint="eastAsia" w:ascii="黑体" w:hAnsi="黑体" w:eastAsia="黑体" w:cs="黑体"/>
          <w:kern w:val="2"/>
          <w:sz w:val="32"/>
          <w:szCs w:val="40"/>
          <w:lang w:val="en-US" w:eastAsia="zh-CN" w:bidi="ar-SA"/>
        </w:rPr>
        <w:t>二、</w:t>
      </w:r>
      <w:r>
        <w:rPr>
          <w:rFonts w:hint="eastAsia" w:ascii="黑体" w:hAnsi="黑体" w:eastAsia="黑体" w:cs="黑体"/>
          <w:sz w:val="32"/>
          <w:szCs w:val="40"/>
          <w:lang w:val="en-US" w:eastAsia="zh-CN"/>
        </w:rPr>
        <w:t>亡人事故分析</w:t>
      </w:r>
    </w:p>
    <w:p w14:paraId="333FEC1D">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亡人事故基本情况。</w:t>
      </w:r>
      <w:r>
        <w:rPr>
          <w:rFonts w:hint="eastAsia" w:ascii="仿宋_GB2312" w:hAnsi="仿宋_GB2312" w:eastAsia="仿宋_GB2312" w:cs="仿宋_GB2312"/>
          <w:b w:val="0"/>
          <w:bCs w:val="0"/>
          <w:sz w:val="32"/>
          <w:szCs w:val="40"/>
          <w:lang w:val="en-US" w:eastAsia="zh-CN"/>
        </w:rPr>
        <w:t>本时间段辖区发生亡人事故</w:t>
      </w:r>
      <w:r>
        <w:rPr>
          <w:rFonts w:hint="eastAsia" w:ascii="仿宋_GB2312" w:hAnsi="仿宋_GB2312" w:eastAsia="仿宋_GB2312" w:cs="仿宋_GB2312"/>
          <w:sz w:val="32"/>
          <w:szCs w:val="40"/>
          <w:lang w:val="en-US" w:eastAsia="zh-CN"/>
        </w:rPr>
        <w:t>{$dec_a}</w:t>
      </w:r>
      <w:r>
        <w:rPr>
          <w:rFonts w:hint="eastAsia" w:ascii="仿宋_GB2312" w:hAnsi="仿宋_GB2312" w:eastAsia="仿宋_GB2312" w:cs="仿宋_GB2312"/>
          <w:b w:val="0"/>
          <w:bCs w:val="0"/>
          <w:sz w:val="32"/>
          <w:szCs w:val="40"/>
          <w:lang w:val="en-US" w:eastAsia="zh-CN"/>
        </w:rPr>
        <w:t>起。</w:t>
      </w:r>
      <w:r>
        <w:rPr>
          <w:rFonts w:hint="eastAsia" w:ascii="仿宋_GB2312" w:hAnsi="仿宋_GB2312" w:eastAsia="仿宋_GB2312" w:cs="仿宋_GB2312"/>
          <w:sz w:val="32"/>
          <w:szCs w:val="40"/>
          <w:lang w:val="en-US" w:eastAsia="zh-CN"/>
        </w:rPr>
        <w:t>{$dec_detail}</w:t>
      </w:r>
      <w:r>
        <w:rPr>
          <w:rFonts w:hint="eastAsia" w:ascii="仿宋_GB2312" w:hAnsi="仿宋_GB2312" w:eastAsia="仿宋_GB2312" w:cs="仿宋_GB2312"/>
          <w:b w:val="0"/>
          <w:bCs w:val="0"/>
          <w:sz w:val="32"/>
          <w:szCs w:val="40"/>
          <w:lang w:val="en-US" w:eastAsia="zh-CN"/>
        </w:rPr>
        <w:t>。</w:t>
      </w:r>
    </w:p>
    <w:p w14:paraId="0C47381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亡人事故辖区大队分布情况。</w:t>
      </w:r>
      <w:r>
        <w:rPr>
          <w:rFonts w:hint="eastAsia" w:ascii="仿宋_GB2312" w:hAnsi="仿宋_GB2312" w:eastAsia="仿宋_GB2312" w:cs="仿宋_GB2312"/>
          <w:b w:val="0"/>
          <w:bCs w:val="0"/>
          <w:sz w:val="32"/>
          <w:szCs w:val="40"/>
          <w:lang w:val="en-US" w:eastAsia="zh-CN"/>
        </w:rPr>
        <w:t>此起亡人事故发生在大队九中队辖区，本月中队辖区共计发生一般事故2起，亡1人、分别占全月辖区一般事故、亡人数28.5%、100%。</w:t>
      </w:r>
    </w:p>
    <w:p w14:paraId="5C706544">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亡人事故道路分布情况。</w:t>
      </w:r>
      <w:r>
        <w:rPr>
          <w:rFonts w:hint="eastAsia" w:ascii="仿宋_GB2312" w:hAnsi="仿宋_GB2312" w:eastAsia="仿宋_GB2312" w:cs="仿宋_GB2312"/>
          <w:b w:val="0"/>
          <w:bCs w:val="0"/>
          <w:sz w:val="32"/>
          <w:szCs w:val="40"/>
          <w:lang w:val="en-US" w:eastAsia="zh-CN"/>
        </w:rPr>
        <w:t>事故发生在{$dec_road}。</w:t>
      </w:r>
    </w:p>
    <w:p w14:paraId="4BF0ACCF">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亡人事故时间。</w:t>
      </w:r>
      <w:r>
        <w:rPr>
          <w:rFonts w:hint="eastAsia" w:ascii="仿宋_GB2312" w:hAnsi="仿宋_GB2312" w:eastAsia="仿宋_GB2312" w:cs="仿宋_GB2312"/>
          <w:b w:val="0"/>
          <w:bCs w:val="0"/>
          <w:sz w:val="32"/>
          <w:szCs w:val="40"/>
          <w:lang w:val="en-US" w:eastAsia="zh-CN"/>
        </w:rPr>
        <w:t>事故发生在{$dec_time}。</w:t>
      </w:r>
    </w:p>
    <w:p w14:paraId="21789E23">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亡人事故双方年龄、职业及出行方式。</w:t>
      </w:r>
      <w:r>
        <w:rPr>
          <w:rFonts w:hint="eastAsia" w:ascii="仿宋_GB2312" w:hAnsi="仿宋_GB2312" w:eastAsia="仿宋_GB2312" w:cs="仿宋_GB2312"/>
          <w:b w:val="0"/>
          <w:bCs w:val="0"/>
          <w:sz w:val="32"/>
          <w:szCs w:val="40"/>
          <w:lang w:val="en-US" w:eastAsia="zh-CN"/>
        </w:rPr>
        <w:t>{$dec_age}。</w:t>
      </w:r>
    </w:p>
    <w:p w14:paraId="37B9259A">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亡人事故原因认定。</w:t>
      </w:r>
      <w:r>
        <w:rPr>
          <w:rFonts w:hint="eastAsia" w:ascii="仿宋_GB2312" w:hAnsi="仿宋_GB2312" w:eastAsia="仿宋_GB2312" w:cs="仿宋_GB2312"/>
          <w:b w:val="0"/>
          <w:bCs w:val="0"/>
          <w:sz w:val="32"/>
          <w:szCs w:val="40"/>
          <w:lang w:val="en-US" w:eastAsia="zh-CN"/>
        </w:rPr>
        <w:t>{$dec_cause}。</w:t>
      </w:r>
    </w:p>
    <w:p w14:paraId="1BF131E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人、车、环境因素。</w:t>
      </w:r>
      <w:r>
        <w:rPr>
          <w:rFonts w:hint="eastAsia" w:ascii="仿宋_GB2312" w:hAnsi="仿宋_GB2312" w:eastAsia="仿宋_GB2312" w:cs="仿宋_GB2312"/>
          <w:b w:val="0"/>
          <w:bCs w:val="0"/>
          <w:sz w:val="32"/>
          <w:szCs w:val="40"/>
          <w:lang w:val="en-US" w:eastAsia="zh-CN"/>
        </w:rPr>
        <w:t>路口设置规范，设施信号齐全，不存在环境因素影响；驾驶员安全出行意识有待提升。</w:t>
      </w:r>
    </w:p>
    <w:p w14:paraId="3390173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三、</w:t>
      </w:r>
      <w:r>
        <w:rPr>
          <w:rFonts w:hint="eastAsia" w:ascii="黑体" w:hAnsi="黑体" w:eastAsia="黑体" w:cs="黑体"/>
          <w:b/>
          <w:bCs/>
          <w:sz w:val="32"/>
          <w:szCs w:val="40"/>
          <w:lang w:val="en-US" w:eastAsia="zh-CN"/>
        </w:rPr>
        <w:t>伤人事故情况</w:t>
      </w:r>
    </w:p>
    <w:p w14:paraId="47684677">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伤人事故基本情况。</w:t>
      </w:r>
      <w:r>
        <w:rPr>
          <w:rFonts w:hint="eastAsia" w:ascii="仿宋_GB2312" w:hAnsi="仿宋_GB2312" w:eastAsia="仿宋_GB2312" w:cs="仿宋_GB2312"/>
          <w:b w:val="0"/>
          <w:bCs w:val="0"/>
          <w:sz w:val="32"/>
          <w:szCs w:val="40"/>
          <w:lang w:val="en-US" w:eastAsia="zh-CN"/>
        </w:rPr>
        <w:t>本时间段辖区发生伤人事故</w:t>
      </w:r>
      <w:r>
        <w:rPr>
          <w:rFonts w:hint="eastAsia" w:ascii="仿宋_GB2312" w:hAnsi="仿宋_GB2312" w:eastAsia="仿宋_GB2312" w:cs="仿宋_GB2312"/>
          <w:sz w:val="32"/>
          <w:szCs w:val="40"/>
          <w:lang w:val="en-US" w:eastAsia="zh-CN"/>
        </w:rPr>
        <w:t>{$total_c_a}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{$total_c_c}</w:t>
      </w:r>
      <w:r>
        <w:rPr>
          <w:rFonts w:hint="eastAsia" w:ascii="仿宋_GB2312" w:hAnsi="仿宋_GB2312" w:eastAsia="仿宋_GB2312" w:cs="仿宋_GB2312"/>
          <w:b w:val="0"/>
          <w:bCs w:val="0"/>
          <w:sz w:val="32"/>
          <w:szCs w:val="40"/>
          <w:lang w:val="en-US" w:eastAsia="zh-CN"/>
        </w:rPr>
        <w:t>人。简易程序伤人事故</w:t>
      </w:r>
      <w:r>
        <w:rPr>
          <w:rFonts w:hint="eastAsia" w:ascii="仿宋_GB2312" w:hAnsi="仿宋_GB2312" w:eastAsia="仿宋_GB2312" w:cs="仿宋_GB2312"/>
          <w:sz w:val="32"/>
          <w:szCs w:val="40"/>
          <w:lang w:val="en-US" w:eastAsia="zh-CN"/>
        </w:rPr>
        <w:t>{$simple_c_a}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{$simple_c_c}</w:t>
      </w:r>
      <w:r>
        <w:rPr>
          <w:rFonts w:hint="eastAsia" w:ascii="仿宋_GB2312" w:hAnsi="仿宋_GB2312" w:eastAsia="仿宋_GB2312" w:cs="仿宋_GB2312"/>
          <w:b w:val="0"/>
          <w:bCs w:val="0"/>
          <w:sz w:val="32"/>
          <w:szCs w:val="40"/>
          <w:lang w:val="en-US" w:eastAsia="zh-CN"/>
        </w:rPr>
        <w:t>人，占全月伤人事故及受伤人数的</w:t>
      </w:r>
      <w:r>
        <w:rPr>
          <w:rFonts w:hint="eastAsia" w:ascii="仿宋_GB2312" w:hAnsi="仿宋_GB2312" w:eastAsia="仿宋_GB2312" w:cs="仿宋_GB2312"/>
          <w:sz w:val="32"/>
          <w:szCs w:val="40"/>
          <w:lang w:val="en-US" w:eastAsia="zh-CN"/>
        </w:rPr>
        <w:t>{$occupy_sa}</w:t>
      </w:r>
      <w:r>
        <w:rPr>
          <w:rFonts w:hint="eastAsia" w:ascii="仿宋_GB2312" w:hAnsi="仿宋_GB2312" w:eastAsia="仿宋_GB2312" w:cs="仿宋_GB2312"/>
          <w:b w:val="0"/>
          <w:bCs w:val="0"/>
          <w:sz w:val="32"/>
          <w:szCs w:val="40"/>
          <w:lang w:val="en-US" w:eastAsia="zh-CN"/>
        </w:rPr>
        <w:t>%、</w:t>
      </w:r>
      <w:r>
        <w:rPr>
          <w:rFonts w:hint="eastAsia" w:ascii="仿宋_GB2312" w:hAnsi="仿宋_GB2312" w:eastAsia="仿宋_GB2312" w:cs="仿宋_GB2312"/>
          <w:sz w:val="32"/>
          <w:szCs w:val="40"/>
          <w:lang w:val="en-US" w:eastAsia="zh-CN"/>
        </w:rPr>
        <w:t>{$occupy_sc}</w:t>
      </w:r>
      <w:r>
        <w:rPr>
          <w:rFonts w:hint="eastAsia" w:ascii="仿宋_GB2312" w:hAnsi="仿宋_GB2312" w:eastAsia="仿宋_GB2312" w:cs="仿宋_GB2312"/>
          <w:b w:val="0"/>
          <w:bCs w:val="0"/>
          <w:sz w:val="32"/>
          <w:szCs w:val="40"/>
          <w:lang w:val="en-US" w:eastAsia="zh-CN"/>
        </w:rPr>
        <w:t>%。一般程序伤人事故</w:t>
      </w:r>
      <w:r>
        <w:rPr>
          <w:rFonts w:hint="eastAsia" w:ascii="仿宋_GB2312" w:hAnsi="仿宋_GB2312" w:eastAsia="仿宋_GB2312" w:cs="仿宋_GB2312"/>
          <w:sz w:val="32"/>
          <w:szCs w:val="40"/>
          <w:lang w:val="en-US" w:eastAsia="zh-CN"/>
        </w:rPr>
        <w:t>{$general_c_a}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{$general_c_c}</w:t>
      </w:r>
      <w:r>
        <w:rPr>
          <w:rFonts w:hint="eastAsia" w:ascii="仿宋_GB2312" w:hAnsi="仿宋_GB2312" w:eastAsia="仿宋_GB2312" w:cs="仿宋_GB2312"/>
          <w:b w:val="0"/>
          <w:bCs w:val="0"/>
          <w:sz w:val="32"/>
          <w:szCs w:val="40"/>
          <w:lang w:val="en-US" w:eastAsia="zh-CN"/>
        </w:rPr>
        <w:t>人。</w:t>
      </w:r>
    </w:p>
    <w:p w14:paraId="3C824C5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伤人事故辖区大队分布情况。</w:t>
      </w:r>
    </w:p>
    <w:tbl>
      <w:tblPr>
        <w:tblStyle w:val="4"/>
        <w:tblW w:w="8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1856"/>
        <w:gridCol w:w="2409"/>
        <w:gridCol w:w="2335"/>
      </w:tblGrid>
      <w:tr w14:paraId="5D40E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noWrap w:val="0"/>
            <w:vAlign w:val="center"/>
          </w:tcPr>
          <w:p w14:paraId="639410C2">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大队</w:t>
            </w:r>
          </w:p>
        </w:tc>
        <w:tc>
          <w:tcPr>
            <w:tcW w:w="1856" w:type="dxa"/>
            <w:noWrap w:val="0"/>
            <w:vAlign w:val="center"/>
          </w:tcPr>
          <w:p w14:paraId="321F24D0">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全部伤人情况</w:t>
            </w:r>
          </w:p>
        </w:tc>
        <w:tc>
          <w:tcPr>
            <w:tcW w:w="2409" w:type="dxa"/>
            <w:noWrap w:val="0"/>
            <w:vAlign w:val="center"/>
          </w:tcPr>
          <w:p w14:paraId="248EA34B">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简易事故伤人情况</w:t>
            </w:r>
          </w:p>
        </w:tc>
        <w:tc>
          <w:tcPr>
            <w:tcW w:w="2335" w:type="dxa"/>
            <w:noWrap w:val="0"/>
            <w:vAlign w:val="center"/>
          </w:tcPr>
          <w:p w14:paraId="29F2A465">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一般事故伤人情况</w:t>
            </w:r>
          </w:p>
        </w:tc>
      </w:tr>
      <w:tr w14:paraId="48F8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790" w:type="dxa"/>
            <w:noWrap w:val="0"/>
            <w:vAlign w:val="center"/>
          </w:tcPr>
          <w:p w14:paraId="24A4BC9D">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c>
          <w:tcPr>
            <w:tcW w:w="1856" w:type="dxa"/>
            <w:noWrap w:val="0"/>
            <w:vAlign w:val="center"/>
          </w:tcPr>
          <w:p w14:paraId="49DC3B36">
            <w:pPr>
              <w:keepNext w:val="0"/>
              <w:keepLines w:val="0"/>
              <w:widowControl/>
              <w:suppressLineNumbers w:val="0"/>
              <w:jc w:val="center"/>
              <w:textAlignment w:val="center"/>
              <w:rPr>
                <w:rFonts w:hint="default" w:ascii="楷体_GB2312" w:hAnsi="楷体_GB2312" w:eastAsia="楷体_GB2312" w:cs="楷体_GB2312"/>
                <w:b/>
                <w:bCs/>
                <w:sz w:val="32"/>
                <w:szCs w:val="40"/>
                <w:vertAlign w:val="baseline"/>
                <w:lang w:val="en-US" w:eastAsia="zh-CN"/>
              </w:rPr>
            </w:pPr>
          </w:p>
        </w:tc>
        <w:tc>
          <w:tcPr>
            <w:tcW w:w="2409" w:type="dxa"/>
            <w:noWrap w:val="0"/>
            <w:vAlign w:val="center"/>
          </w:tcPr>
          <w:p w14:paraId="2010FB7E">
            <w:pPr>
              <w:keepNext w:val="0"/>
              <w:keepLines w:val="0"/>
              <w:widowControl/>
              <w:suppressLineNumbers w:val="0"/>
              <w:jc w:val="center"/>
              <w:textAlignment w:val="center"/>
              <w:rPr>
                <w:rFonts w:hint="eastAsia" w:ascii="楷体_GB2312" w:hAnsi="楷体_GB2312" w:eastAsia="楷体_GB2312" w:cs="楷体_GB2312"/>
                <w:b/>
                <w:bCs/>
                <w:kern w:val="2"/>
                <w:sz w:val="32"/>
                <w:szCs w:val="40"/>
                <w:vertAlign w:val="baseline"/>
                <w:lang w:val="en-US" w:eastAsia="zh-CN" w:bidi="ar-SA"/>
              </w:rPr>
            </w:pPr>
          </w:p>
        </w:tc>
        <w:tc>
          <w:tcPr>
            <w:tcW w:w="2335" w:type="dxa"/>
            <w:noWrap w:val="0"/>
            <w:vAlign w:val="center"/>
          </w:tcPr>
          <w:p w14:paraId="4B986EFA">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r>
    </w:tbl>
    <w:p w14:paraId="4F00387F">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default" w:ascii="楷体_GB2312" w:hAnsi="楷体_GB2312" w:eastAsia="楷体_GB2312" w:cs="楷体_GB2312"/>
          <w:b/>
          <w:bCs/>
          <w:sz w:val="32"/>
          <w:szCs w:val="40"/>
          <w:lang w:val="en-US" w:eastAsia="zh-CN"/>
        </w:rPr>
      </w:pPr>
    </w:p>
    <w:p w14:paraId="4402D61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伤人事故道路分布情况。</w:t>
      </w:r>
    </w:p>
    <w:tbl>
      <w:tblPr>
        <w:tblStyle w:val="4"/>
        <w:tblW w:w="82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2070"/>
        <w:gridCol w:w="2230"/>
      </w:tblGrid>
      <w:tr w14:paraId="4663B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24" w:type="dxa"/>
            <w:noWrap w:val="0"/>
            <w:vAlign w:val="center"/>
          </w:tcPr>
          <w:p w14:paraId="0E0C6BFF">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路名</w:t>
            </w:r>
          </w:p>
        </w:tc>
        <w:tc>
          <w:tcPr>
            <w:tcW w:w="2070" w:type="dxa"/>
            <w:noWrap w:val="0"/>
            <w:vAlign w:val="center"/>
          </w:tcPr>
          <w:p w14:paraId="0CFCBB05">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受伤人数</w:t>
            </w:r>
          </w:p>
        </w:tc>
        <w:tc>
          <w:tcPr>
            <w:tcW w:w="2230" w:type="dxa"/>
            <w:noWrap w:val="0"/>
            <w:vAlign w:val="center"/>
          </w:tcPr>
          <w:p w14:paraId="4E98788F">
            <w:pPr>
              <w:numPr>
                <w:ilvl w:val="0"/>
                <w:numId w:val="0"/>
              </w:numPr>
              <w:ind w:left="0" w:leftChars="0" w:firstLine="0" w:firstLineChars="0"/>
              <w:jc w:val="center"/>
              <w:rPr>
                <w:rFonts w:hint="default" w:ascii="仿宋_GB2312" w:hAnsi="仿宋_GB2312" w:eastAsia="仿宋_GB2312" w:cs="仿宋_GB2312"/>
                <w:b/>
                <w:bCs/>
                <w:sz w:val="28"/>
                <w:szCs w:val="36"/>
                <w:vertAlign w:val="baseline"/>
                <w:lang w:val="en-US" w:eastAsia="zh-CN"/>
              </w:rPr>
            </w:pPr>
            <w:r>
              <w:rPr>
                <w:rFonts w:hint="eastAsia" w:ascii="仿宋_GB2312" w:hAnsi="仿宋_GB2312" w:eastAsia="仿宋_GB2312" w:cs="仿宋_GB2312"/>
                <w:b/>
                <w:bCs/>
                <w:sz w:val="28"/>
                <w:szCs w:val="36"/>
                <w:vertAlign w:val="baseline"/>
                <w:lang w:val="en-US" w:eastAsia="zh-CN"/>
              </w:rPr>
              <w:t>占比</w:t>
            </w:r>
          </w:p>
        </w:tc>
      </w:tr>
      <w:tr w14:paraId="390EB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3924" w:type="dxa"/>
            <w:noWrap w:val="0"/>
            <w:vAlign w:val="center"/>
          </w:tcPr>
          <w:p w14:paraId="3F840F90">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070" w:type="dxa"/>
            <w:noWrap w:val="0"/>
            <w:vAlign w:val="center"/>
          </w:tcPr>
          <w:p w14:paraId="65E7C8BC">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230" w:type="dxa"/>
            <w:noWrap w:val="0"/>
            <w:vAlign w:val="center"/>
          </w:tcPr>
          <w:p w14:paraId="6B7B979B">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r>
    </w:tbl>
    <w:p w14:paraId="3B6E21C9">
      <w:pPr>
        <w:keepNext w:val="0"/>
        <w:keepLines w:val="0"/>
        <w:pageBreakBefore w:val="0"/>
        <w:widowControl w:val="0"/>
        <w:numPr>
          <w:numId w:val="0"/>
        </w:numPr>
        <w:kinsoku/>
        <w:wordWrap/>
        <w:overflowPunct/>
        <w:topLinePunct w:val="0"/>
        <w:autoSpaceDE/>
        <w:autoSpaceDN/>
        <w:bidi w:val="0"/>
        <w:adjustRightInd/>
        <w:snapToGrid/>
        <w:spacing w:line="560" w:lineRule="exact"/>
        <w:jc w:val="left"/>
        <w:textAlignment w:val="auto"/>
        <w:rPr>
          <w:rFonts w:hint="eastAsia" w:ascii="楷体_GB2312" w:hAnsi="楷体_GB2312" w:eastAsia="楷体_GB2312" w:cs="楷体_GB2312"/>
          <w:b/>
          <w:bCs/>
          <w:sz w:val="32"/>
          <w:szCs w:val="40"/>
          <w:lang w:val="en-US" w:eastAsia="zh-CN"/>
        </w:rPr>
      </w:pPr>
    </w:p>
    <w:p w14:paraId="41EB694F">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伤人事故时间分布情况。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1202"/>
        <w:gridCol w:w="942"/>
        <w:gridCol w:w="1188"/>
        <w:gridCol w:w="899"/>
        <w:gridCol w:w="1231"/>
        <w:gridCol w:w="921"/>
        <w:gridCol w:w="1211"/>
      </w:tblGrid>
      <w:tr w14:paraId="2F129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 w:type="dxa"/>
            <w:noWrap w:val="0"/>
            <w:vAlign w:val="top"/>
          </w:tcPr>
          <w:p w14:paraId="6DFBF04E">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02" w:type="dxa"/>
            <w:noWrap w:val="0"/>
            <w:vAlign w:val="top"/>
          </w:tcPr>
          <w:p w14:paraId="77F7ACDA">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42" w:type="dxa"/>
            <w:noWrap w:val="0"/>
            <w:vAlign w:val="top"/>
          </w:tcPr>
          <w:p w14:paraId="32CB7748">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188" w:type="dxa"/>
            <w:noWrap w:val="0"/>
            <w:vAlign w:val="top"/>
          </w:tcPr>
          <w:p w14:paraId="7C6E654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899" w:type="dxa"/>
            <w:noWrap w:val="0"/>
            <w:vAlign w:val="top"/>
          </w:tcPr>
          <w:p w14:paraId="2D3B3D7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31" w:type="dxa"/>
            <w:noWrap w:val="0"/>
            <w:vAlign w:val="top"/>
          </w:tcPr>
          <w:p w14:paraId="7649A8B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21" w:type="dxa"/>
            <w:noWrap w:val="0"/>
            <w:vAlign w:val="top"/>
          </w:tcPr>
          <w:p w14:paraId="310C07B5">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11" w:type="dxa"/>
            <w:noWrap w:val="0"/>
            <w:vAlign w:val="top"/>
          </w:tcPr>
          <w:p w14:paraId="5A31454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r>
      <w:tr w14:paraId="3BCF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8" w:type="dxa"/>
            <w:noWrap w:val="0"/>
            <w:vAlign w:val="center"/>
          </w:tcPr>
          <w:p w14:paraId="60C857AA">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1202" w:type="dxa"/>
            <w:noWrap w:val="0"/>
            <w:vAlign w:val="center"/>
          </w:tcPr>
          <w:p w14:paraId="6E6EA885">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42" w:type="dxa"/>
            <w:noWrap w:val="0"/>
            <w:vAlign w:val="center"/>
          </w:tcPr>
          <w:p w14:paraId="3C04913A">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188" w:type="dxa"/>
            <w:noWrap w:val="0"/>
            <w:vAlign w:val="center"/>
          </w:tcPr>
          <w:p w14:paraId="1C0C0016">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899" w:type="dxa"/>
            <w:noWrap w:val="0"/>
            <w:vAlign w:val="center"/>
          </w:tcPr>
          <w:p w14:paraId="33E77781">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231" w:type="dxa"/>
            <w:noWrap w:val="0"/>
            <w:vAlign w:val="center"/>
          </w:tcPr>
          <w:p w14:paraId="1FA91174">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21" w:type="dxa"/>
            <w:noWrap w:val="0"/>
            <w:vAlign w:val="center"/>
          </w:tcPr>
          <w:p w14:paraId="6D34C429">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1211" w:type="dxa"/>
            <w:noWrap w:val="0"/>
            <w:vAlign w:val="center"/>
          </w:tcPr>
          <w:p w14:paraId="44234F6B">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r>
    </w:tbl>
    <w:p w14:paraId="2C5EA7A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{$chart_cas_time}</w:t>
      </w:r>
    </w:p>
    <w:p w14:paraId="221D681B">
      <w:pPr>
        <w:pStyle w:val="2"/>
        <w:keepNext/>
        <w:keepLines/>
        <w:pageBreakBefore w:val="0"/>
        <w:widowControl w:val="0"/>
        <w:kinsoku/>
        <w:wordWrap/>
        <w:overflowPunct/>
        <w:topLinePunct w:val="0"/>
        <w:autoSpaceDE/>
        <w:autoSpaceDN/>
        <w:bidi w:val="0"/>
        <w:adjustRightInd/>
        <w:snapToGrid/>
        <w:spacing w:before="0" w:after="0" w:line="560" w:lineRule="exact"/>
        <w:ind w:firstLine="640" w:firstLineChars="200"/>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top1_cas_time}时、{$top2_cas_time}时、{$top3_cas_time}时这三个时段为伤人事故多发时段，分别占全部受伤人数的{$occupy_c_t1}%、{$occupy_c_t2}%、{$occupy_c_t3}%。这些时段处于日内高峰时段，群众出行集中，导致事故高发，其次，在用餐高峰期，外卖小哥急于送餐，往往车速较快且遵守交通规则自觉性降低，导致发生事故。</w:t>
      </w:r>
    </w:p>
    <w:p w14:paraId="5E172DFA">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伤人事故双方年龄、职业及出行方式。</w:t>
      </w:r>
    </w:p>
    <w:p w14:paraId="259F04D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sz w:val="32"/>
          <w:szCs w:val="40"/>
          <w:lang w:val="en-US" w:eastAsia="zh-CN"/>
        </w:rPr>
        <w:t>{$chart_cas_age}</w:t>
      </w:r>
    </w:p>
    <w:p w14:paraId="6F228A8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本时间段</w:t>
      </w:r>
      <w:r>
        <w:rPr>
          <w:rFonts w:hint="eastAsia" w:ascii="仿宋_GB2312" w:hAnsi="仿宋_GB2312" w:eastAsia="仿宋_GB2312" w:cs="仿宋_GB2312"/>
          <w:sz w:val="32"/>
          <w:szCs w:val="40"/>
          <w:lang w:val="en-US" w:eastAsia="zh-CN"/>
        </w:rPr>
        <w:t>{$total_c_age}</w:t>
      </w:r>
      <w:r>
        <w:rPr>
          <w:rFonts w:hint="eastAsia" w:ascii="仿宋_GB2312" w:hAnsi="仿宋_GB2312" w:eastAsia="仿宋_GB2312" w:cs="仿宋_GB2312"/>
          <w:b w:val="0"/>
          <w:bCs w:val="0"/>
          <w:kern w:val="2"/>
          <w:sz w:val="32"/>
          <w:szCs w:val="32"/>
          <w:lang w:val="en-US" w:eastAsia="zh-CN" w:bidi="ar-SA"/>
        </w:rPr>
        <w:t>名交通事故伤者中，年龄段排名前三的分别是</w:t>
      </w:r>
      <w:r>
        <w:rPr>
          <w:rFonts w:hint="eastAsia" w:ascii="仿宋_GB2312" w:hAnsi="仿宋_GB2312" w:eastAsia="仿宋_GB2312" w:cs="仿宋_GB2312"/>
          <w:b w:val="0"/>
          <w:bCs w:val="0"/>
          <w:sz w:val="32"/>
          <w:szCs w:val="40"/>
          <w:lang w:val="en-US" w:eastAsia="zh-CN"/>
        </w:rPr>
        <w:t>{$top1_cas_age}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{$top2_cas_age}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{$top3_cas_age}</w:t>
      </w:r>
      <w:r>
        <w:rPr>
          <w:rFonts w:hint="eastAsia" w:ascii="仿宋_GB2312" w:hAnsi="仿宋_GB2312" w:eastAsia="仿宋_GB2312" w:cs="仿宋_GB2312"/>
          <w:b w:val="0"/>
          <w:bCs w:val="0"/>
          <w:kern w:val="2"/>
          <w:sz w:val="32"/>
          <w:szCs w:val="32"/>
          <w:lang w:val="en-US" w:eastAsia="zh-CN" w:bidi="ar-SA"/>
        </w:rPr>
        <w:t>段，分别为</w:t>
      </w:r>
      <w:r>
        <w:rPr>
          <w:rFonts w:hint="eastAsia" w:ascii="仿宋_GB2312" w:hAnsi="仿宋_GB2312" w:eastAsia="仿宋_GB2312" w:cs="仿宋_GB2312"/>
          <w:b w:val="0"/>
          <w:bCs w:val="0"/>
          <w:sz w:val="32"/>
          <w:szCs w:val="40"/>
          <w:lang w:val="en-US" w:eastAsia="zh-CN"/>
        </w:rPr>
        <w:t>{$top1_cas_count}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{$top2_cas_count}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{$top3_cas_count}</w:t>
      </w:r>
      <w:r>
        <w:rPr>
          <w:rFonts w:hint="eastAsia" w:ascii="仿宋_GB2312" w:hAnsi="仿宋_GB2312" w:eastAsia="仿宋_GB2312" w:cs="仿宋_GB2312"/>
          <w:b w:val="0"/>
          <w:bCs w:val="0"/>
          <w:kern w:val="2"/>
          <w:sz w:val="32"/>
          <w:szCs w:val="32"/>
          <w:lang w:val="en-US" w:eastAsia="zh-CN" w:bidi="ar-SA"/>
        </w:rPr>
        <w:t>人，分别占比</w:t>
      </w:r>
      <w:r>
        <w:rPr>
          <w:rFonts w:hint="eastAsia" w:ascii="仿宋_GB2312" w:hAnsi="仿宋_GB2312" w:eastAsia="仿宋_GB2312" w:cs="仿宋_GB2312"/>
          <w:b w:val="0"/>
          <w:bCs w:val="0"/>
          <w:sz w:val="32"/>
          <w:szCs w:val="40"/>
          <w:lang w:val="en-US" w:eastAsia="zh-CN"/>
        </w:rPr>
        <w:t>{$occupy_c_a1}</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{$occupy_c_a2}</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{$occupy_c_a3}</w:t>
      </w:r>
      <w:r>
        <w:rPr>
          <w:rFonts w:hint="eastAsia" w:ascii="仿宋_GB2312" w:hAnsi="仿宋_GB2312" w:eastAsia="仿宋_GB2312" w:cs="仿宋_GB2312"/>
          <w:b w:val="0"/>
          <w:bCs w:val="0"/>
          <w:kern w:val="2"/>
          <w:sz w:val="32"/>
          <w:szCs w:val="32"/>
          <w:lang w:val="en-US" w:eastAsia="zh-CN" w:bidi="ar-SA"/>
        </w:rPr>
        <w:t>%。</w:t>
      </w:r>
    </w:p>
    <w:p w14:paraId="0F62A91B">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仿宋_GB2312" w:hAnsi="仿宋_GB2312" w:eastAsia="仿宋_GB2312"/>
          <w:b w:val="0"/>
          <w:bCs w:val="0"/>
          <w:kern w:val="2"/>
          <w:sz w:val="32"/>
          <w:szCs w:val="40"/>
          <w:lang w:val="en-US" w:eastAsia="zh-CN" w:bidi="ar-SA"/>
        </w:rPr>
      </w:pPr>
      <w:r>
        <w:rPr>
          <w:rFonts w:hint="eastAsia" w:ascii="楷体_GB2312" w:hAnsi="楷体_GB2312" w:eastAsia="楷体_GB2312" w:cs="楷体_GB2312"/>
          <w:b/>
          <w:bCs/>
          <w:sz w:val="32"/>
          <w:szCs w:val="40"/>
          <w:lang w:val="en-US" w:eastAsia="zh-CN"/>
        </w:rPr>
        <w:t>伤人</w:t>
      </w:r>
      <w:r>
        <w:rPr>
          <w:rFonts w:hint="eastAsia" w:ascii="楷体_GB2312" w:hAnsi="楷体_GB2312" w:eastAsia="楷体_GB2312" w:cs="楷体_GB2312"/>
          <w:b/>
          <w:bCs/>
          <w:kern w:val="2"/>
          <w:sz w:val="32"/>
          <w:szCs w:val="40"/>
          <w:lang w:val="en-US" w:eastAsia="zh-CN" w:bidi="ar-SA"/>
        </w:rPr>
        <w:t>事故</w:t>
      </w:r>
      <w:r>
        <w:rPr>
          <w:rFonts w:hint="eastAsia" w:ascii="楷体_GB2312" w:hAnsi="楷体_GB2312" w:eastAsia="楷体_GB2312" w:cs="楷体_GB2312"/>
          <w:b/>
          <w:bCs/>
          <w:sz w:val="32"/>
          <w:szCs w:val="40"/>
          <w:lang w:val="en-US" w:eastAsia="zh-CN"/>
        </w:rPr>
        <w:t>原因认定。</w:t>
      </w:r>
      <w:r>
        <w:rPr>
          <w:rFonts w:hint="eastAsia" w:ascii="仿宋_GB2312" w:hAnsi="仿宋_GB2312" w:eastAsia="仿宋_GB2312"/>
          <w:b w:val="0"/>
          <w:bCs w:val="0"/>
          <w:kern w:val="2"/>
          <w:sz w:val="32"/>
          <w:szCs w:val="40"/>
          <w:lang w:val="en-US" w:eastAsia="zh-CN" w:bidi="ar-SA"/>
        </w:rPr>
        <w:t>本时间段辖区交通事故伤人情况中，主要交通违法行为包括</w:t>
      </w:r>
      <w:r>
        <w:rPr>
          <w:rFonts w:hint="eastAsia" w:ascii="仿宋_GB2312" w:hAnsi="仿宋_GB2312" w:eastAsia="仿宋_GB2312" w:cs="仿宋_GB2312"/>
          <w:b w:val="0"/>
          <w:bCs w:val="0"/>
          <w:sz w:val="32"/>
          <w:szCs w:val="40"/>
          <w:lang w:val="en-US" w:eastAsia="zh-CN"/>
        </w:rPr>
        <w:t>{$top1_cause}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{$top1_cause_count}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{$top1_occupy_cause}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{$top2_occupy_cause}</w:t>
      </w:r>
      <w:r>
        <w:rPr>
          <w:rFonts w:hint="eastAsia" w:ascii="仿宋_GB2312" w:hAnsi="仿宋_GB2312" w:eastAsia="仿宋_GB2312"/>
          <w:b w:val="0"/>
          <w:bCs w:val="0"/>
          <w:kern w:val="2"/>
          <w:sz w:val="32"/>
          <w:szCs w:val="40"/>
          <w:lang w:val="en-US" w:eastAsia="zh-CN" w:bidi="ar-SA"/>
        </w:rPr>
        <w:t>%）和</w:t>
      </w:r>
      <w:r>
        <w:rPr>
          <w:rFonts w:hint="eastAsia" w:ascii="仿宋_GB2312" w:hAnsi="仿宋_GB2312" w:eastAsia="仿宋_GB2312" w:cs="仿宋_GB2312"/>
          <w:b w:val="0"/>
          <w:bCs w:val="0"/>
          <w:sz w:val="32"/>
          <w:szCs w:val="40"/>
          <w:lang w:val="en-US" w:eastAsia="zh-CN"/>
        </w:rPr>
        <w:t>{$top3_cause}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{$top3_occupy_cause}</w:t>
      </w:r>
      <w:r>
        <w:rPr>
          <w:rFonts w:hint="eastAsia" w:ascii="仿宋_GB2312" w:hAnsi="仿宋_GB2312" w:eastAsia="仿宋_GB2312"/>
          <w:b w:val="0"/>
          <w:bCs w:val="0"/>
          <w:kern w:val="2"/>
          <w:sz w:val="32"/>
          <w:szCs w:val="40"/>
          <w:lang w:val="en-US" w:eastAsia="zh-CN" w:bidi="ar-SA"/>
        </w:rPr>
        <w:t>%）。这些违法行为是导致事故发生的主要原因。另外伤人事故中，多为</w:t>
      </w:r>
      <w:r>
        <w:rPr>
          <w:rFonts w:hint="eastAsia" w:ascii="仿宋_GB2312" w:hAnsi="仿宋_GB2312" w:eastAsia="仿宋_GB2312" w:cs="仿宋_GB2312"/>
          <w:b w:val="0"/>
          <w:bCs w:val="0"/>
          <w:sz w:val="32"/>
          <w:szCs w:val="40"/>
          <w:lang w:val="en-US" w:eastAsia="zh-CN"/>
        </w:rPr>
        <w:t>{$top1_cas_cause}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{$top3_cas_cause}等行为</w:t>
      </w:r>
      <w:bookmarkStart w:id="0" w:name="_GoBack"/>
      <w:bookmarkEnd w:id="0"/>
      <w:r>
        <w:rPr>
          <w:rFonts w:hint="eastAsia" w:ascii="仿宋_GB2312" w:hAnsi="仿宋_GB2312" w:eastAsia="仿宋_GB2312"/>
          <w:b w:val="0"/>
          <w:bCs w:val="0"/>
          <w:kern w:val="2"/>
          <w:sz w:val="32"/>
          <w:szCs w:val="40"/>
          <w:lang w:val="en-US" w:eastAsia="zh-CN" w:bidi="ar-SA"/>
        </w:rPr>
        <w:t>引发。</w:t>
      </w:r>
    </w:p>
    <w:p w14:paraId="142DF59A">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四、事故要素综合分析</w:t>
      </w:r>
    </w:p>
    <w:p w14:paraId="26BFCD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结合以上七个维度，3月份，芙蓉辖区交通事故主要集中在五一商圈、东二环沿线、火车站周边及亚大路以东区域，其中机动车刮擦、非机动车不按规定行驶是造成伤人事故的主要原因，同时因气温回暖，早晚时段时事故的高发期，主要在于该时段群众出行需求大且道路行车车速较快，同时货运车辆过境、老年人骑行电动车或步行反应不足也是事故原因。</w:t>
      </w:r>
    </w:p>
    <w:p w14:paraId="6A45C2BD">
      <w:pPr>
        <w:keepNext w:val="0"/>
        <w:keepLines w:val="0"/>
        <w:pageBreakBefore w:val="0"/>
        <w:widowControl w:val="0"/>
        <w:numPr>
          <w:ilvl w:val="0"/>
          <w:numId w:val="4"/>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典型案例</w:t>
      </w:r>
    </w:p>
    <w:p w14:paraId="5D8D3C3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3月19日16时56分，吴强（男，30岁）驾驶车牌为湘ADE8256的小型新能源汽车沿古汉路由东往西行驶至万家丽路口时，恰遇一男子（约50岁）骑行车牌为长沙1525722（绿牌）的两轮电动车由南往北行驶，两车发生碰撞，造成两轮电动车骑行人受伤，目前已送至马王堆医院救治。（马坡岭街道）</w:t>
      </w:r>
    </w:p>
    <w:p w14:paraId="1620410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（一）人员信息核实：</w:t>
      </w:r>
    </w:p>
    <w:p w14:paraId="54E8CD9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1、湘ADE8256小型新能源汽车驾驶员:吴强，男，30岁，身份证号码433127199408194013，持C1驾驶证，驾驶证状态正常，登记地址湖南省永顺县芙蓉镇芙蓉社区牌楼组。</w:t>
      </w:r>
    </w:p>
    <w:p w14:paraId="54A8C7D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2、两轮电动车骑行人，李辉先，男，52岁，现住长沙市雨花区高桥街道高桥社区高桥组高双湖农副产品城A25栋四单元420室。</w:t>
      </w:r>
    </w:p>
    <w:p w14:paraId="38ADC37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（二）车辆信息核实：</w:t>
      </w:r>
    </w:p>
    <w:p w14:paraId="3C96C4A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1、湘ADE8256小型新能源汽车，车辆所有人长沙市迪滴同创新能源汽车租赁有限公司，车辆使用性质预约出租客运，机动车状态正常，初次登记日期2020年12月29日，检验有效期止2025年12月31日。</w:t>
      </w:r>
    </w:p>
    <w:p w14:paraId="45C7BA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2、长沙1525722（绿牌）两轮电动车，黑色</w:t>
      </w:r>
    </w:p>
    <w:p w14:paraId="3CB3A3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（三）事故原因：</w:t>
      </w:r>
    </w:p>
    <w:p w14:paraId="65372A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电动车驾驶人闯红灯，机动车驾驶人通过路口未确保行车安全。</w:t>
      </w:r>
    </w:p>
    <w:p w14:paraId="03391BC5">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六、</w:t>
      </w:r>
      <w:r>
        <w:rPr>
          <w:rFonts w:hint="eastAsia" w:ascii="黑体" w:hAnsi="黑体" w:eastAsia="黑体" w:cs="黑体"/>
          <w:b/>
          <w:bCs/>
          <w:sz w:val="32"/>
          <w:szCs w:val="40"/>
          <w:lang w:val="en-US" w:eastAsia="zh-CN"/>
        </w:rPr>
        <w:t>防控建议</w:t>
      </w:r>
    </w:p>
    <w:p w14:paraId="4650D336">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kern w:val="2"/>
          <w:sz w:val="32"/>
          <w:szCs w:val="40"/>
          <w:lang w:val="en-US" w:eastAsia="zh-CN" w:bidi="ar-SA"/>
        </w:rPr>
      </w:pPr>
      <w:r>
        <w:rPr>
          <w:rFonts w:hint="eastAsia" w:ascii="楷体_GB2312" w:hAnsi="楷体_GB2312" w:eastAsia="楷体_GB2312"/>
          <w:b/>
          <w:bCs/>
          <w:kern w:val="2"/>
          <w:sz w:val="32"/>
          <w:szCs w:val="40"/>
          <w:lang w:val="en-US" w:eastAsia="zh-CN" w:bidi="ar-SA"/>
        </w:rPr>
        <w:t>（一）</w:t>
      </w:r>
      <w:r>
        <w:rPr>
          <w:rFonts w:hint="eastAsia" w:ascii="楷体_GB2312" w:hAnsi="楷体_GB2312" w:eastAsia="楷体_GB2312"/>
          <w:b/>
          <w:bCs/>
          <w:sz w:val="32"/>
          <w:szCs w:val="40"/>
          <w:lang w:eastAsia="zh-CN"/>
        </w:rPr>
        <w:t>加强重点时段和路段的管控</w:t>
      </w:r>
    </w:p>
    <w:p w14:paraId="6A3830BC">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时段管控：早、中、晚高峰及下午时段等事故高发时段，加强对</w:t>
      </w:r>
      <w:r>
        <w:rPr>
          <w:rFonts w:hint="eastAsia" w:ascii="仿宋_GB2312" w:hAnsi="仿宋_GB2312" w:eastAsia="仿宋_GB2312"/>
          <w:b w:val="0"/>
          <w:bCs/>
          <w:sz w:val="32"/>
          <w:szCs w:val="32"/>
          <w:highlight w:val="none"/>
          <w:lang w:val="en-US" w:eastAsia="zh-CN"/>
        </w:rPr>
        <w:t>人民路、远大路、五一大道、万家丽路、东二环、晚报大道</w:t>
      </w:r>
      <w:r>
        <w:rPr>
          <w:rFonts w:hint="eastAsia" w:ascii="仿宋_GB2312" w:hAnsi="仿宋_GB2312" w:eastAsia="仿宋_GB2312"/>
          <w:sz w:val="32"/>
          <w:szCs w:val="40"/>
          <w:lang w:eastAsia="zh-CN"/>
        </w:rPr>
        <w:t>等主要路口路段的巡逻和违法整治力度，重点查处违规变道、驾车时接打电话、非机动车走机动车道等违法行为。同时随着日照时间延长，大队应适当调整早晚勤务管理时间，严控早晚交通安全风险。</w:t>
      </w:r>
    </w:p>
    <w:p w14:paraId="0502F17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路段管控：在事故高发路段增加警力部署，特别是在</w:t>
      </w:r>
      <w:r>
        <w:rPr>
          <w:rFonts w:hint="eastAsia" w:ascii="仿宋_GB2312" w:hAnsi="仿宋_GB2312" w:eastAsia="仿宋_GB2312"/>
          <w:b/>
          <w:bCs w:val="0"/>
          <w:sz w:val="32"/>
          <w:szCs w:val="32"/>
          <w:lang w:val="en-US" w:eastAsia="zh-CN"/>
        </w:rPr>
        <w:t>人民路亚大路口至东湖路口路段、远大路团结桥至万家丽路、五一大道车站路至芙蓉广场、万家丽路荷花路至浏阳河大道、东二环</w:t>
      </w:r>
      <w:r>
        <w:rPr>
          <w:rFonts w:hint="eastAsia" w:ascii="仿宋_GB2312" w:hAnsi="仿宋_GB2312" w:eastAsia="仿宋_GB2312"/>
          <w:b/>
          <w:bCs w:val="0"/>
          <w:sz w:val="32"/>
          <w:szCs w:val="40"/>
          <w:lang w:eastAsia="zh-CN"/>
        </w:rPr>
        <w:t>等</w:t>
      </w:r>
      <w:r>
        <w:rPr>
          <w:rFonts w:hint="eastAsia" w:ascii="仿宋_GB2312" w:hAnsi="仿宋_GB2312" w:eastAsia="仿宋_GB2312"/>
          <w:sz w:val="32"/>
          <w:szCs w:val="40"/>
          <w:lang w:eastAsia="zh-CN"/>
        </w:rPr>
        <w:t>及重要进出城通道，设置临时检查点，加强交通疏导和违法查处，针对客货运车辆开展例行检查。同时下阶段因清明节、五一劳动节假期出行人员增多，加强</w:t>
      </w:r>
      <w:r>
        <w:rPr>
          <w:rFonts w:hint="eastAsia" w:ascii="仿宋_GB2312" w:hAnsi="仿宋_GB2312" w:eastAsia="仿宋_GB2312"/>
          <w:b/>
          <w:bCs/>
          <w:sz w:val="32"/>
          <w:szCs w:val="40"/>
          <w:lang w:eastAsia="zh-CN"/>
        </w:rPr>
        <w:t>火车站及汽车东站、烈士公园、浏阳河风光带</w:t>
      </w:r>
      <w:r>
        <w:rPr>
          <w:rFonts w:hint="eastAsia" w:ascii="仿宋_GB2312" w:hAnsi="仿宋_GB2312" w:eastAsia="仿宋_GB2312"/>
          <w:sz w:val="32"/>
          <w:szCs w:val="40"/>
          <w:lang w:eastAsia="zh-CN"/>
        </w:rPr>
        <w:t>等周边交通管控。</w:t>
      </w:r>
    </w:p>
    <w:p w14:paraId="60ADD7E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（二）开展交通安全宣传教育</w:t>
      </w:r>
    </w:p>
    <w:p w14:paraId="12560A4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社区宣传：针对伤人交通事故多的十四、九、十一、二、三中队辖区，联合街道、社区开展交通安全宣传教育。通过发放宣传资料、举办讲座等形式，提高居民特别是老年人早晚出行的安全意识。</w:t>
      </w:r>
      <w:r>
        <w:rPr>
          <w:rFonts w:hint="eastAsia" w:ascii="仿宋_GB2312" w:hAnsi="仿宋_GB2312" w:eastAsia="仿宋_GB2312" w:cs="仿宋_GB2312"/>
          <w:b w:val="0"/>
          <w:bCs/>
          <w:sz w:val="32"/>
          <w:szCs w:val="20"/>
          <w:lang w:val="en-US" w:eastAsia="zh-CN"/>
        </w:rPr>
        <w:t>针对芙蓉区马王堆海鲜市场周边交通要素复杂及安全隐患极大的特点。</w:t>
      </w:r>
    </w:p>
    <w:p w14:paraId="75CB866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cs="仿宋_GB2312"/>
          <w:b w:val="0"/>
          <w:bCs/>
          <w:sz w:val="32"/>
          <w:szCs w:val="20"/>
          <w:lang w:val="en-US" w:eastAsia="zh-CN"/>
        </w:rPr>
        <w:t>大队前期通过增设人行过街、完善照明及自主勤务，取得一定成效。近期，在支队事故预防专班与处教科指导下，运用“专业+机制+大数据”的新型警务模式，通过相关技术手段，精准定位市场周边凌晨高频出现的118名五十岁以上中老年行人，在与街道共同努力下，全部查找到位，其中76人属东屯渡、火星、马王堆与荷花园四个街道，27日晚，大队与区委宣传部联合组织“芙蓉夜话.交通事故预防篇”活动，邀请24名“两易”人群与市场、社区、义警、事故伤者代表，开展了一场别开生面的交通精准宣教活动。</w:t>
      </w:r>
    </w:p>
    <w:p w14:paraId="317FF914">
      <w:pPr>
        <w:pStyle w:val="2"/>
        <w:bidi w:val="0"/>
        <w:jc w:val="center"/>
        <w:rPr>
          <w:rFonts w:hint="eastAsia"/>
          <w:lang w:val="en-US" w:eastAsia="zh-CN"/>
        </w:rPr>
      </w:pPr>
      <w:r>
        <w:rPr>
          <w:rFonts w:hint="eastAsia"/>
          <w:lang w:val="en-US" w:eastAsia="zh-CN"/>
        </w:rPr>
        <w:drawing>
          <wp:inline distT="0" distB="0" distL="114300" distR="114300">
            <wp:extent cx="2615565" cy="1961515"/>
            <wp:effectExtent l="0" t="0" r="635" b="6985"/>
            <wp:docPr id="4" name="图片 3" descr="微信图片_2025032811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250328110937"/>
                    <pic:cNvPicPr>
                      <a:picLocks noChangeAspect="1"/>
                    </pic:cNvPicPr>
                  </pic:nvPicPr>
                  <pic:blipFill>
                    <a:blip r:embed="rId4"/>
                    <a:stretch>
                      <a:fillRect/>
                    </a:stretch>
                  </pic:blipFill>
                  <pic:spPr>
                    <a:xfrm>
                      <a:off x="0" y="0"/>
                      <a:ext cx="2615565" cy="1961515"/>
                    </a:xfrm>
                    <a:prstGeom prst="rect">
                      <a:avLst/>
                    </a:prstGeom>
                    <a:noFill/>
                    <a:ln>
                      <a:noFill/>
                    </a:ln>
                  </pic:spPr>
                </pic:pic>
              </a:graphicData>
            </a:graphic>
          </wp:inline>
        </w:drawing>
      </w:r>
    </w:p>
    <w:p w14:paraId="64EF1EFA">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企业学校宣传：对重点企业、工地、学校定期进行“五进”工作，强化群众安全出行意识，增强风险防范认知。特别是在学校周边，加强交通安全宣传，确保学生上下学安全。</w:t>
      </w:r>
    </w:p>
    <w:p w14:paraId="47C8DF6B">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酒驾宣传：加强对餐馆、夜市等场所的酒驾宣传，提醒驾驶人谨防“隔夜醉”。通过张贴宣传海报、播放宣传视频等方式，提高驾驶人的交通安全意识。</w:t>
      </w:r>
    </w:p>
    <w:p w14:paraId="010D3DB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 xml:space="preserve">（三）加大重点违法行为整治力度  </w:t>
      </w:r>
    </w:p>
    <w:p w14:paraId="076D0BC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酒驾整治：加强酒驾整治的覆盖范围和强度，重点加强</w:t>
      </w:r>
      <w:r>
        <w:rPr>
          <w:rFonts w:hint="eastAsia" w:ascii="仿宋_GB2312" w:hAnsi="仿宋_GB2312" w:eastAsia="仿宋_GB2312" w:cs="仿宋_GB2312"/>
          <w:b w:val="0"/>
          <w:bCs w:val="0"/>
          <w:sz w:val="32"/>
          <w:szCs w:val="40"/>
          <w:highlight w:val="none"/>
          <w:lang w:val="en-US" w:eastAsia="zh-CN"/>
        </w:rPr>
        <w:t>东二环、远大路、万家丽路、人民路</w:t>
      </w:r>
      <w:r>
        <w:rPr>
          <w:rFonts w:hint="eastAsia" w:ascii="仿宋_GB2312" w:hAnsi="仿宋_GB2312" w:eastAsia="仿宋_GB2312"/>
          <w:sz w:val="32"/>
          <w:szCs w:val="40"/>
          <w:lang w:eastAsia="zh-CN"/>
        </w:rPr>
        <w:t>合围区域，另外进出城通道如人民路亚大路口周边、远大路红旗路口周边、浏阳河大道沿线增加酒驾查处场次。</w:t>
      </w:r>
    </w:p>
    <w:p w14:paraId="555D35E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货运车辆整治：加强对辖区货运车辆违法查缉工作，特别是在工地周边和货运通道，增加检查频次，确保货运车辆安全行驶。同时加强对辖区老旧面包车的查处力度，避免因车况隐患导致交通事故。</w:t>
      </w:r>
    </w:p>
    <w:p w14:paraId="13B0ED40">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非机动车整治：加强对非机动车违法行为的整治，特别是在五一商圈、湘雅附二、人民路立交桥、杨家山等区域及浏阳河以东片区，增加整治场次，确保非机动车遵守交通规则。</w:t>
      </w:r>
    </w:p>
    <w:p w14:paraId="2FCDB24B">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（四）加强变天交通安全管理</w:t>
      </w:r>
    </w:p>
    <w:p w14:paraId="277624C9">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巡逻频次：针对下阶段前期多雨后期晴的特点，加强早晚时段的巡逻和宣治力度，提高警用车辆巡逻频次。各中队根据辖区事故警情特点合理安放移动式警示灯，强化夜间示警。</w:t>
      </w:r>
    </w:p>
    <w:p w14:paraId="502809B4">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路面维护：联合区相关部门，及时查看路面情况，遇路面积水情况，及时进行处置，防止因积水导致交通事故。对路面破损、围挡施工安全设施不齐等隐患及时上报整改，确保道路通行安全。</w:t>
      </w:r>
    </w:p>
    <w:p w14:paraId="71F51FE4">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（五）常态排查治理道路隐患</w:t>
      </w:r>
    </w:p>
    <w:p w14:paraId="52AC2CFF">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日常巡查：各勤务中队日常联合街道对辖区道路进行巡查，及时上报路面破损、交通设施缺失、损坏、树枝遮挡等隐患，并协调相关部门进行整改。及时发现涉及过街通道。</w:t>
      </w:r>
    </w:p>
    <w:p w14:paraId="297264D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40"/>
          <w:lang w:val="en-US" w:eastAsia="zh-CN"/>
        </w:rPr>
      </w:pPr>
      <w:r>
        <w:rPr>
          <w:rFonts w:hint="eastAsia" w:ascii="仿宋_GB2312" w:hAnsi="仿宋_GB2312" w:eastAsia="仿宋_GB2312"/>
          <w:sz w:val="32"/>
          <w:szCs w:val="40"/>
          <w:lang w:val="en-US" w:eastAsia="zh-CN"/>
        </w:rPr>
        <w:t>2、重点</w:t>
      </w:r>
      <w:r>
        <w:rPr>
          <w:rFonts w:hint="eastAsia" w:ascii="仿宋_GB2312" w:hAnsi="仿宋_GB2312" w:eastAsia="仿宋_GB2312"/>
          <w:sz w:val="32"/>
          <w:szCs w:val="40"/>
          <w:lang w:eastAsia="zh-CN"/>
        </w:rPr>
        <w:t>隐患整改：对涉及相关职能部门的隐患，如夜间照明不足、路口信号灯缺失、道路中央护栏缺失等隐患，由区道路交通安全管理工作机制办公室对其去函进行整改，确保隐患得到及时处置。</w:t>
      </w:r>
    </w:p>
    <w:p w14:paraId="015F40B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b w:val="0"/>
          <w:bCs w:val="0"/>
          <w:sz w:val="32"/>
          <w:szCs w:val="40"/>
          <w:lang w:val="en-US" w:eastAsia="zh-CN"/>
        </w:rPr>
      </w:pPr>
    </w:p>
    <w:p w14:paraId="2642A584">
      <w:pPr>
        <w:rPr>
          <w:rFonts w:hint="eastAsia" w:ascii="宋体" w:hAnsi="宋体" w:cs="宋体"/>
          <w:bCs/>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6FA2A"/>
    <w:multiLevelType w:val="singleLevel"/>
    <w:tmpl w:val="8D36FA2A"/>
    <w:lvl w:ilvl="0" w:tentative="0">
      <w:start w:val="1"/>
      <w:numFmt w:val="chineseCounting"/>
      <w:suff w:val="nothing"/>
      <w:lvlText w:val="（%1）"/>
      <w:lvlJc w:val="left"/>
      <w:pPr>
        <w:ind w:left="0" w:firstLine="420"/>
      </w:pPr>
      <w:rPr>
        <w:rFonts w:hint="eastAsia"/>
        <w:b/>
        <w:bCs/>
      </w:rPr>
    </w:lvl>
  </w:abstractNum>
  <w:abstractNum w:abstractNumId="1">
    <w:nsid w:val="98F62F58"/>
    <w:multiLevelType w:val="singleLevel"/>
    <w:tmpl w:val="98F62F5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2">
    <w:nsid w:val="B1F9FC28"/>
    <w:multiLevelType w:val="singleLevel"/>
    <w:tmpl w:val="B1F9FC2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3">
    <w:nsid w:val="F426F92E"/>
    <w:multiLevelType w:val="singleLevel"/>
    <w:tmpl w:val="F426F92E"/>
    <w:lvl w:ilvl="0" w:tentative="0">
      <w:start w:val="5"/>
      <w:numFmt w:val="chineseCounting"/>
      <w:suff w:val="nothing"/>
      <w:lvlText w:val="%1、"/>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00CA"/>
    <w:rsid w:val="00C14B91"/>
    <w:rsid w:val="010C0502"/>
    <w:rsid w:val="01176EA7"/>
    <w:rsid w:val="02FC6355"/>
    <w:rsid w:val="032D4760"/>
    <w:rsid w:val="03917924"/>
    <w:rsid w:val="03DB12AA"/>
    <w:rsid w:val="03F92894"/>
    <w:rsid w:val="04117658"/>
    <w:rsid w:val="05017C52"/>
    <w:rsid w:val="05AD1B88"/>
    <w:rsid w:val="05FE0636"/>
    <w:rsid w:val="06FA3850"/>
    <w:rsid w:val="077C5CB6"/>
    <w:rsid w:val="07AA035F"/>
    <w:rsid w:val="07AD2986"/>
    <w:rsid w:val="092E2FE0"/>
    <w:rsid w:val="0A59408D"/>
    <w:rsid w:val="0A9E7CF1"/>
    <w:rsid w:val="0B12230C"/>
    <w:rsid w:val="0BD93EAE"/>
    <w:rsid w:val="0CE51C08"/>
    <w:rsid w:val="0E947D89"/>
    <w:rsid w:val="0EFF16A6"/>
    <w:rsid w:val="0F420C86"/>
    <w:rsid w:val="127618B9"/>
    <w:rsid w:val="12CD5618"/>
    <w:rsid w:val="12EA61CA"/>
    <w:rsid w:val="12FB2DB3"/>
    <w:rsid w:val="14665D24"/>
    <w:rsid w:val="14DA2FE3"/>
    <w:rsid w:val="17103D25"/>
    <w:rsid w:val="17852965"/>
    <w:rsid w:val="17A10E21"/>
    <w:rsid w:val="19185068"/>
    <w:rsid w:val="1A472175"/>
    <w:rsid w:val="1ABD2416"/>
    <w:rsid w:val="1C2E5379"/>
    <w:rsid w:val="1FBB0BC8"/>
    <w:rsid w:val="202F16C0"/>
    <w:rsid w:val="207215AC"/>
    <w:rsid w:val="20794159"/>
    <w:rsid w:val="207D68CF"/>
    <w:rsid w:val="226F2247"/>
    <w:rsid w:val="22EE7610"/>
    <w:rsid w:val="23F46EA8"/>
    <w:rsid w:val="26396E77"/>
    <w:rsid w:val="27D25752"/>
    <w:rsid w:val="29220014"/>
    <w:rsid w:val="299D3B3E"/>
    <w:rsid w:val="2BF33EE9"/>
    <w:rsid w:val="2CF2763C"/>
    <w:rsid w:val="2DA83A37"/>
    <w:rsid w:val="2F3164C7"/>
    <w:rsid w:val="2F9735E8"/>
    <w:rsid w:val="301424E6"/>
    <w:rsid w:val="303D1BD7"/>
    <w:rsid w:val="308710A4"/>
    <w:rsid w:val="30D75B88"/>
    <w:rsid w:val="30D77936"/>
    <w:rsid w:val="327214BB"/>
    <w:rsid w:val="32AB107A"/>
    <w:rsid w:val="32D305D1"/>
    <w:rsid w:val="33244988"/>
    <w:rsid w:val="34A22009"/>
    <w:rsid w:val="37742E7A"/>
    <w:rsid w:val="3962620A"/>
    <w:rsid w:val="39627FB8"/>
    <w:rsid w:val="3A192D6D"/>
    <w:rsid w:val="3B0357CB"/>
    <w:rsid w:val="3B051543"/>
    <w:rsid w:val="3C3C0F95"/>
    <w:rsid w:val="3C8B3CCA"/>
    <w:rsid w:val="3D077E06"/>
    <w:rsid w:val="3D3E475B"/>
    <w:rsid w:val="3DEE144B"/>
    <w:rsid w:val="3DF05380"/>
    <w:rsid w:val="3FC217B1"/>
    <w:rsid w:val="3FCF2120"/>
    <w:rsid w:val="40786313"/>
    <w:rsid w:val="40C94DC1"/>
    <w:rsid w:val="43776D56"/>
    <w:rsid w:val="43A23362"/>
    <w:rsid w:val="44550E45"/>
    <w:rsid w:val="44C47D79"/>
    <w:rsid w:val="44C935E1"/>
    <w:rsid w:val="44E73A68"/>
    <w:rsid w:val="45B83DEF"/>
    <w:rsid w:val="46FD57C4"/>
    <w:rsid w:val="479E0D55"/>
    <w:rsid w:val="486536A3"/>
    <w:rsid w:val="4BAD1567"/>
    <w:rsid w:val="4C1A3252"/>
    <w:rsid w:val="4D862070"/>
    <w:rsid w:val="4DCB2178"/>
    <w:rsid w:val="4DDC4959"/>
    <w:rsid w:val="4EA053B3"/>
    <w:rsid w:val="4EF93941"/>
    <w:rsid w:val="4F3075BC"/>
    <w:rsid w:val="50490B47"/>
    <w:rsid w:val="518F7C60"/>
    <w:rsid w:val="52B94C95"/>
    <w:rsid w:val="52E361B6"/>
    <w:rsid w:val="534F1156"/>
    <w:rsid w:val="54520F80"/>
    <w:rsid w:val="559B2D78"/>
    <w:rsid w:val="55A90FF1"/>
    <w:rsid w:val="55B856D8"/>
    <w:rsid w:val="56682C5A"/>
    <w:rsid w:val="569532BB"/>
    <w:rsid w:val="56CE524A"/>
    <w:rsid w:val="576C51F3"/>
    <w:rsid w:val="57A06214"/>
    <w:rsid w:val="59661137"/>
    <w:rsid w:val="5BEA4111"/>
    <w:rsid w:val="5D050CB9"/>
    <w:rsid w:val="5DCB65FB"/>
    <w:rsid w:val="60180861"/>
    <w:rsid w:val="604C447B"/>
    <w:rsid w:val="606D70BF"/>
    <w:rsid w:val="616E6854"/>
    <w:rsid w:val="61D946C3"/>
    <w:rsid w:val="61F66D6D"/>
    <w:rsid w:val="62764951"/>
    <w:rsid w:val="650E0E71"/>
    <w:rsid w:val="6545060B"/>
    <w:rsid w:val="6562740E"/>
    <w:rsid w:val="66F10B35"/>
    <w:rsid w:val="675B2171"/>
    <w:rsid w:val="6917406C"/>
    <w:rsid w:val="69A73642"/>
    <w:rsid w:val="6B142F59"/>
    <w:rsid w:val="6C345CDB"/>
    <w:rsid w:val="6F2319BD"/>
    <w:rsid w:val="6F4F4560"/>
    <w:rsid w:val="6F653D83"/>
    <w:rsid w:val="701F1212"/>
    <w:rsid w:val="70423FD9"/>
    <w:rsid w:val="708A1FAF"/>
    <w:rsid w:val="70D72A5F"/>
    <w:rsid w:val="710C1B97"/>
    <w:rsid w:val="72C22558"/>
    <w:rsid w:val="75117C4C"/>
    <w:rsid w:val="753A35BC"/>
    <w:rsid w:val="753C37D8"/>
    <w:rsid w:val="75770001"/>
    <w:rsid w:val="75C32A24"/>
    <w:rsid w:val="76733229"/>
    <w:rsid w:val="76E574BC"/>
    <w:rsid w:val="79C347F6"/>
    <w:rsid w:val="79F44681"/>
    <w:rsid w:val="7AED12C1"/>
    <w:rsid w:val="7BF81ADB"/>
    <w:rsid w:val="7E6D4A02"/>
    <w:rsid w:val="7F316E6A"/>
    <w:rsid w:val="7F8D5B77"/>
    <w:rsid w:val="7FCD6834"/>
    <w:rsid w:val="7FFE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2976</Words>
  <Characters>3763</Characters>
  <Lines>0</Lines>
  <Paragraphs>0</Paragraphs>
  <TotalTime>87</TotalTime>
  <ScaleCrop>false</ScaleCrop>
  <LinksUpToDate>false</LinksUpToDate>
  <CharactersWithSpaces>3770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2025-05-18T11:42:00Z</dcterms:created>
  <dc:creator>Administrator</dc:creator>
  <cp:lastModifiedBy>Administrator</cp:lastModifiedBy>
  <dcterms:modified xsi:type="dcterms:W3CDTF">2025-05-27T14:00:25Z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eyJoZGlkIjoiOTJlMTg1Y2IyNzU1MTQwNTg1ZDU0MGZkZTA1YTQ2MzUifQ==</vt:lpwstr>
  </property>
  <property fmtid="{D5CDD505-2E9C-101B-9397-08002B2CF9AE}" pid="4" name="ICV">
    <vt:lpwstr>077B16E0175D4C1BA94B08D32ACC173A_12</vt:lpwstr>
  </property>
</Properties>
</file>