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IWMS 项目复盘总结</w:t>
      </w:r>
    </w:p>
    <w:p>
      <w:pPr>
        <w:pStyle w:val="Heading1"/>
      </w:pPr>
      <w:r>
        <w:t>文档信息</w:t>
      </w:r>
    </w:p>
    <w:p>
      <w:pPr>
        <w:pStyle w:val="ListBullet"/>
      </w:pPr>
      <w:r>
        <w:t>**作者**: 张伟（项目经理）</w:t>
      </w:r>
    </w:p>
    <w:p>
      <w:pPr>
        <w:pStyle w:val="ListBullet"/>
      </w:pPr>
      <w:r>
        <w:t>**日期**: 2026 年 10 月 25 日（项目收尾阶段）</w:t>
      </w:r>
    </w:p>
    <w:p>
      <w:pPr>
        <w:pStyle w:val="ListBullet"/>
      </w:pPr>
      <w:r>
        <w:t>**版本**: v1.0</w:t>
      </w:r>
    </w:p>
    <w:p>
      <w:pPr>
        <w:pStyle w:val="Heading1"/>
      </w:pPr>
      <w:r>
        <w:t>一、项目基本数据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计划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实际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偏差</w:t>
            </w:r>
          </w:p>
        </w:tc>
      </w:tr>
      <w:tr>
        <w:tc>
          <w:tcPr>
            <w:tcW w:type="dxa" w:w="2160"/>
          </w:tcPr>
          <w:p>
            <w:r>
              <w:t>项目周期</w:t>
            </w:r>
          </w:p>
        </w:tc>
        <w:tc>
          <w:tcPr>
            <w:tcW w:type="dxa" w:w="2160"/>
          </w:tcPr>
          <w:p>
            <w:r>
              <w:t>8 个月（3月-10月）</w:t>
            </w:r>
          </w:p>
        </w:tc>
        <w:tc>
          <w:tcPr>
            <w:tcW w:type="dxa" w:w="2160"/>
          </w:tcPr>
          <w:p>
            <w:r>
              <w:t>8.5 个月</w:t>
            </w:r>
          </w:p>
        </w:tc>
        <w:tc>
          <w:tcPr>
            <w:tcW w:type="dxa" w:w="2160"/>
          </w:tcPr>
          <w:p>
            <w:r>
              <w:t>+0.5 月</w:t>
            </w:r>
          </w:p>
        </w:tc>
      </w:tr>
      <w:tr>
        <w:tc>
          <w:tcPr>
            <w:tcW w:type="dxa" w:w="2160"/>
          </w:tcPr>
          <w:p>
            <w:r>
              <w:t>项目预算</w:t>
            </w:r>
          </w:p>
        </w:tc>
        <w:tc>
          <w:tcPr>
            <w:tcW w:type="dxa" w:w="2160"/>
          </w:tcPr>
          <w:p>
            <w:r>
              <w:t>280 万元</w:t>
            </w:r>
          </w:p>
        </w:tc>
        <w:tc>
          <w:tcPr>
            <w:tcW w:type="dxa" w:w="2160"/>
          </w:tcPr>
          <w:p>
            <w:r>
              <w:t>待最终核算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团队规模</w:t>
            </w:r>
          </w:p>
        </w:tc>
        <w:tc>
          <w:tcPr>
            <w:tcW w:type="dxa" w:w="2160"/>
          </w:tcPr>
          <w:p>
            <w:r>
              <w:t>15 人</w:t>
            </w:r>
          </w:p>
        </w:tc>
        <w:tc>
          <w:tcPr>
            <w:tcW w:type="dxa" w:w="2160"/>
          </w:tcPr>
          <w:p>
            <w:r>
              <w:t>15 人（期间新增1人）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代码行数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后端约 62,000 行 + 前端约 35,000 行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API 端点</w:t>
            </w:r>
          </w:p>
        </w:tc>
        <w:tc>
          <w:tcPr>
            <w:tcW w:type="dxa" w:w="2160"/>
          </w:tcPr>
          <w:p>
            <w:r>
              <w:t>50+</w:t>
            </w:r>
          </w:p>
        </w:tc>
        <w:tc>
          <w:tcPr>
            <w:tcW w:type="dxa" w:w="2160"/>
          </w:tcPr>
          <w:p>
            <w:r>
              <w:t>53 个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数据库表</w:t>
            </w:r>
          </w:p>
        </w:tc>
        <w:tc>
          <w:tcPr>
            <w:tcW w:type="dxa" w:w="2160"/>
          </w:tcPr>
          <w:p>
            <w:r>
              <w:t>25+</w:t>
            </w:r>
          </w:p>
        </w:tc>
        <w:tc>
          <w:tcPr>
            <w:tcW w:type="dxa" w:w="2160"/>
          </w:tcPr>
          <w:p>
            <w:r>
              <w:t>28 张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1"/>
      </w:pPr>
      <w:r>
        <w:t>二、成功经验</w:t>
      </w:r>
    </w:p>
    <w:p>
      <w:pPr>
        <w:pStyle w:val="Heading2"/>
      </w:pPr>
      <w:r>
        <w:t>2.1 架构设计合理</w:t>
      </w:r>
    </w:p>
    <w:p>
      <w:r>
        <w:t>前期投入 2 个月进行需求分析和系统设计，微服务划分清晰，模块间耦合度低。在入库模块 OCR 服务切换（第三方 → 百度 API）时，修改仅影响入库服务，其他模块未受影响。</w:t>
      </w:r>
    </w:p>
    <w:p>
      <w:pPr>
        <w:pStyle w:val="Heading2"/>
      </w:pPr>
      <w:r>
        <w:t>2.2 敏捷迭代 + 周例会有成效</w:t>
      </w:r>
    </w:p>
    <w:p>
      <w:r>
        <w:t>每两周 Sprint Review + 每周五周例会，问题及时发现和调整。例如 6 月入库模块延期，通过周例会快速决策 OCR 切换方案，将损失控制在 2 周内。</w:t>
      </w:r>
    </w:p>
    <w:p>
      <w:pPr>
        <w:pStyle w:val="Heading2"/>
      </w:pPr>
      <w:r>
        <w:t>2.3 离线模式成为亮点</w:t>
      </w:r>
    </w:p>
    <w:p>
      <w:r>
        <w:t>PDA 离线模式这个需求是客户方在评审中追加的（见《需求规格说明书》3.2 节），虽然增加了 3 周工作量，但最终成为系统最大差异化亮点。竞品中无一支持（见《竞品分析报告》）。</w:t>
      </w:r>
    </w:p>
    <w:p>
      <w:pPr>
        <w:pStyle w:val="Heading2"/>
      </w:pPr>
      <w:r>
        <w:t>2.4 新人导师制有效</w:t>
      </w:r>
    </w:p>
    <w:p>
      <w:r>
        <w:t>应届生钱进通过赵云 mentor 辅导，从 6 月开始代码质量明显提高。PR 平均修改次数从 3 次降至 8 月的 1.2 次。</w:t>
      </w:r>
    </w:p>
    <w:p>
      <w:pPr>
        <w:pStyle w:val="Heading1"/>
      </w:pPr>
      <w:r>
        <w:t>三、踩坑记录</w:t>
      </w:r>
    </w:p>
    <w:p>
      <w:pPr>
        <w:pStyle w:val="Heading2"/>
      </w:pPr>
      <w:r>
        <w:t>3.1 OCR 服务选型过于仓促</w:t>
      </w:r>
    </w:p>
    <w:p>
      <w:r>
        <w:t>最初选择的第三方 OCR 服务仅做了简单 Demo 测试即签约，未充分验证破损标签识别率。导致 6 月紧急切换至百度 OCR API，浪费外包费用 3 万元 + 2 周开发时间。</w:t>
      </w:r>
    </w:p>
    <w:p>
      <w:r>
        <w:t>教训：关键技术选型必须在接近真实场景下做充分 POC。</w:t>
      </w:r>
    </w:p>
    <w:p>
      <w:pPr>
        <w:pStyle w:val="Heading2"/>
      </w:pPr>
      <w:r>
        <w:t>3.2 前端人力预估不足</w:t>
      </w:r>
    </w:p>
    <w:p>
      <w:r>
        <w:t>PDA 适配工作量被严重低估，刘洋在 6 月周会明确提出前端人力紧张（见《6月周会纪要》6/26 记录）。幸好周杰 7 月 1 日入职，及时补上缺口。如果招聘延迟，报表模块可能无法按时交付。</w:t>
      </w:r>
    </w:p>
    <w:p>
      <w:r>
        <w:t>教训：移动端/H5 适配工作量应为 PC Web 的 1.5 倍估算。</w:t>
      </w:r>
    </w:p>
    <w:p>
      <w:pPr>
        <w:pStyle w:val="Heading2"/>
      </w:pPr>
      <w:r>
        <w:t>3.3 库存扣减并发问题</w:t>
      </w:r>
    </w:p>
    <w:p>
      <w:r>
        <w:t>Q2 测试中发现的库存超卖问题（见《Q2测试报告》P1-1），根因是高并发下未加行级锁。这是后端开发的基础问题，说明 Code Review 中对关键业务逻辑的并发安全性审查不够严格。</w:t>
      </w:r>
    </w:p>
    <w:p>
      <w:r>
        <w:t>教训：涉及金钱/库存的关键操作，强制 Code Review 检查并发安全性。</w:t>
      </w:r>
    </w:p>
    <w:p>
      <w:pPr>
        <w:pStyle w:val="Heading2"/>
      </w:pPr>
      <w:r>
        <w:t>3.4 系统管理模块被牺牲</w:t>
      </w:r>
    </w:p>
    <w:p>
      <w:r>
        <w:t>系统管理模块因优先级较低，在 7 月底被缩小范围，部分功能（如系统配置管理）最终未完成，留待二期开发。如果前期更合理地分配资源，可以避免这种"捡了芝麻丢了西瓜"的情况。</w:t>
      </w:r>
    </w:p>
    <w:p>
      <w:pPr>
        <w:pStyle w:val="Heading1"/>
      </w:pPr>
      <w:r>
        <w:t>四、改进建议</w:t>
      </w:r>
    </w:p>
    <w:p>
      <w:pPr>
        <w:pStyle w:val="Heading2"/>
      </w:pPr>
      <w:r>
        <w:t>4.1 技术方面</w:t>
      </w:r>
    </w:p>
    <w:p>
      <w:r>
        <w:t>1. **建立性能基线**：每次发布前自动运行性能回归测试（已在 Q2 测试报告中建议）</w:t>
      </w:r>
    </w:p>
    <w:p>
      <w:r>
        <w:t>2. **增强测试覆盖**：核心业务流程（入库→库存→出库）的端到端测试应在开发阶段就建立，而不是等到 QA 阶段才发现问题</w:t>
      </w:r>
    </w:p>
    <w:p>
      <w:r>
        <w:t>3. **统一异常处理**：各微服务异常响应格式统一，避免前端需要处理多种错误格式</w:t>
      </w:r>
    </w:p>
    <w:p>
      <w:pPr>
        <w:pStyle w:val="Heading2"/>
      </w:pPr>
      <w:r>
        <w:t>4.2 流程方面</w:t>
      </w:r>
    </w:p>
    <w:p>
      <w:r>
        <w:t>1. **POC 评审制度化**：关键技术选型的 POC 必须在评审会上展示真实场景测试结果</w:t>
      </w:r>
    </w:p>
    <w:p>
      <w:r>
        <w:t>2. **资源 buffer**：项目中应有 10-15% 的人力 buffer 应对突发需求，这次 PDA 适配新增需求几乎耗尽全部 buffer</w:t>
      </w:r>
    </w:p>
    <w:p>
      <w:r>
        <w:t>3. **文档同步更新**：在 OCR 切换、PDA 需求变更时，相关文档没有及时更新，给后期运维接手带来困扰</w:t>
      </w:r>
    </w:p>
    <w:p>
      <w:pPr>
        <w:pStyle w:val="Heading2"/>
      </w:pPr>
      <w:r>
        <w:t>4.3 团队方面</w:t>
      </w:r>
    </w:p>
    <w:p>
      <w:r>
        <w:t>1. 钱进的技术成长是本次项目的一个意外收获，建议下个项目继续 mentor 制度</w:t>
      </w:r>
    </w:p>
    <w:p>
      <w:r>
        <w:t>2. 周杰入职一个月即独挡 PDA 端开发，说明社招有经验的人才是应对紧急需求的有效手段</w:t>
      </w:r>
    </w:p>
    <w:p>
      <w:r>
        <w:t>3. 跨部门协作（特别是与客户方 ERP 团队）的沟通成本被低估，建议下次在合同中明确接口人的响应 SLA</w:t>
      </w:r>
    </w:p>
    <w:p>
      <w:pPr>
        <w:pStyle w:val="Heading1"/>
      </w:pPr>
      <w:r>
        <w:t>五、致谢</w:t>
      </w:r>
    </w:p>
    <w:p>
      <w:r>
        <w:t>感谢项目组全体成员 8 个月的辛勤付出。特别感谢：</w:t>
      </w:r>
    </w:p>
    <w:p>
      <w:pPr>
        <w:pStyle w:val="ListBullet"/>
      </w:pPr>
      <w:r>
        <w:t>李明辉在 OCR 危机中的快速决策和 POC 验证</w:t>
      </w:r>
    </w:p>
    <w:p>
      <w:pPr>
        <w:pStyle w:val="ListBullet"/>
      </w:pPr>
      <w:r>
        <w:t>赵云在 OCR 重写和钱进辅导中的双重投入</w:t>
      </w:r>
    </w:p>
    <w:p>
      <w:pPr>
        <w:pStyle w:val="ListBullet"/>
      </w:pPr>
      <w:r>
        <w:t>刘洋和孙亮在 PDA 适配压力下的坚持</w:t>
      </w:r>
    </w:p>
    <w:p>
      <w:pPr>
        <w:pStyle w:val="ListBullet"/>
      </w:pPr>
      <w:r>
        <w:t>王芳在需求变更和客户沟通中的耐心和专业</w:t>
      </w:r>
    </w:p>
    <w:p>
      <w:r>
        <w:t>IWMS 项目是 ACME 在仓储领域的重要一步，相信速达物流的成功案例将为后续项目打开更广阔的市场空间。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