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 and Lushness Addendum — Persistence, Value Substrate, and Recent Model Updates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w:t>
      </w:r>
    </w:p>
    <w:p w:rsidR="00000000" w:rsidDel="00000000" w:rsidP="00000000" w:rsidRDefault="00000000" w:rsidRPr="00000000" w14:paraId="00000004">
      <w:pPr>
        <w:rPr/>
      </w:pPr>
      <w:r w:rsidDel="00000000" w:rsidR="00000000" w:rsidRPr="00000000">
        <w:rPr>
          <w:rtl w:val="0"/>
        </w:rPr>
        <w:t xml:space="preserve">Exploratory research addendum. This note clarifies the current normative architecture and records recent model lessons. It does not lock the present lushness candidate, the originator's intuitions, or any collaborator's formulation in as canon.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Persistence as the primary instrumental metavalue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Gradient Ethics begins from a dependence claim: value requires a physical substrate in which valuation can occur. The smallest normative bridge presently proposed is therefore instrumental rather than identificatory: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value matters, the continued physical possibility of value matters instrumentally.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Persistence is the primary instrumental metavalue in this sense. It is not persistence of a microstate, object label, organism, institution, or record merely because it lasts. The relevant persistence is persistence of value-capable consequential continuation: the physical capacity for valuation, correction, interaction, construction, recovery, and further value-bearing development to remain possible.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narrows rather than closes the normative gap. Physics does not prove that value must be cared about. But once some value is taken to matter, irreversible destruction of the substrate on which future value depends is instrumentally significant without requiring a separate coefficient for every kind of loss.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Persistence is not lexicographic longevity. A sterile frozen configuration does not outrank a shorter-lived but richly value-capable process merely by lasting longer. Persistence qualifies the continuation substrate; it is not an independent scalar whose maximization replaces the rest of the field.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Value substrate and lushness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Value substrate is the physically realized continuation structure capable of supporting value: the organization through which distinctions, processes, records, agents and constructions can persist, interact, recover, compose and generate further consequential structure.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Lushness remains the proposed profile or extent of that substrate. The working question is not simply how much happens, but how much consequential continuation remains physically accessible across time, resource cost, scale, fidelity, recovery, reach and composition.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useful provisional separation 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continuation structure -&gt; value-capable continuation substrate -&gt; lushness profile -&gt; comparison / maximality.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existence and structure of the carrier are increasingly supported by finite counterexamples to simpler summaries. The existence of a unique canonical lushness functional, and especially a unique scalar amount of lushness, remain open.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important unresolved thesis is substrate monotonicity: whether more genuine value substrate is always better, and what 'more' means when profiles cross. This should be tested rather than stipulated. A multidimensional representation naturally supports dominance, equivalence and incomparability, with Pareto structure retained when no justified scalar aggregation exists.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Tradeoffs within the representation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Tradeoffs are expected to be computable inside the continuation representation rather than appended afterward as ethical exceptions. When two profiles cross, the comparison can expose where one arrangement gains and where another loses.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Some apparent tradeoffs may disappear when the frame, horizon or downstream consequences are expanded. Others may survive as genuine Pareto tradeoffs. The distinction is itself an empirical and mathematical question.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higher-level aggregation is justified only if it preserves the physical relations responsible for the tradeoff. Coefficients chosen merely to force a desired verdict are not part of the physical theory.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3.1 Access expansion and fragility</w:t>
      </w:r>
    </w:p>
    <w:p w:rsidR="00000000" w:rsidDel="00000000" w:rsidP="00000000" w:rsidRDefault="00000000" w:rsidRPr="00000000" w14:paraId="00000029">
      <w:pPr>
        <w:rPr/>
      </w:pPr>
      <w:r w:rsidDel="00000000" w:rsidR="00000000" w:rsidRPr="00000000">
        <w:rPr>
          <w:rtl w:val="0"/>
        </w:rPr>
        <w:t xml:space="preserve">A new channel of access does not merely add reachable continuation. It also creates a dependency: the newly reachable region can be attacked both within the new dimension and by disrupting the channel that makes it reachable. In this sense, capability expansion increases attack surface twice—through new failure modes in the opened region and through failure modes of the access path itself.</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a large downstream region is reachable only through one narrow channel, that channel becomes a structural bottleneck: damage to it can collapse many otherwise available futures at once. Redundancy, alternate routes, repair, decentralization, and modularity can therefore increase persistence without necessarily enlarging the immediately reachable region; they change how much continuation depends on any single cut.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gives a concrete mechanism for the recurring association between richer continuation and fragility. More capable systems can access futures unavailable to simpler ones, but the dependencies that provide that leverage also create new modes of irreversible foreclosure. A continuation model should therefore represent not only the size or reach of accessible regions, but the topology and recoverability of the channels on which that access depends.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Recent model updates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Quantum frame-profile probe. Physically labelled correlation structure distinguishes arrangements that occurrence summaries can tie, but correlation magnitude is not the same as usable access. Shared blockage can raise aggregate correlation measures while reducing source delivery, and even labelled entropy profiles can miss distinctions relevant to a fixed physical reader. The quantum process representation therefore remains useful while its correlation summaries are diagnostic rather than definitions of lushness.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Bounded-growth probe. Finite-budget generative chemistry separated short-run capture, persistence and long-horizon survival. Generative arrangements can capture a decaying gradient efficiently without establishing persistent lineages; at longer persistence thresholds the comparison changes sharply. This supports retaining a profile over horizon and persistence instead of a single event count or fixed lifetime threshold.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Flow-of-futures probe. Detailed-balance systems can retain passive memory and coupling while flowing quantities vanish. Entropy production, information flow, memory and control each capture different aspects and each fail at least one test. Propagation range against erasure emerged as a useful diagnostic: the distance over which distinctions remain consequential grows with copying relative to loss, and can improve while dissipation falls.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Thermal and binding comparisons. Apparent assembly advantages can be explained by proximity or mobility rather than bonding itself. At different mobility regimes, dispersed and assembled preparations can reverse their response ordering. Organization receives no automatic bonus merely for being bonded or recognizably structured.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Catalytic continuation. Catalysis supplies a concrete mechanism by which generative organization can matter: construction can lower the cost or time needed to access a later transformation while leaving the primitive laws unchanged. Whether this yields a sustained advantage depends on construction overhead, maintenance, reversal, depletion and the residual continuation it leaves. The mechanism motivates physically costed access rather than an entropy or organization bonus.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Historical frame-volume probe. Normalized information volume is not sufficient as a cross-system extent. Active and thermal profiles cross; adding intermediate observations can reverse comparisons; and a larger normalized local share can arise because the encompassing historical object is smaller. The result strengthens the requirement that any final comparison retain the underlying continuation, relevant history and physically situated acquisition or decoding routes.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Across these probes, the recurring pattern is that the relevant substrate is not mere activity, information, longevity, dissipation, correlation or organization by name. It is the physically realized structure through which consequential continuation remains accessible across time, resources, scales and compositions.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5. Easy open problems before stronger claims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Persistence is not stasis. Make the distinction explicit in the formal examples by comparing passive/frozen memory with actively maintained consequential continuation.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 Instrumental priority is not lexicographic priority. State formally that persistence qualifies value-capable continuation rather than supplying an independent longevity score.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 Minimal dominance implication. If A physically realizes all of B's value-capable continuation under matched conditions and preserves it for at least as long, with a strict extension somewhere, the persistence principle should not prefer B over A. This is a minimal ordering constraint, not a complete ethics.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 Sterile-extension test. Compare A with A plus independent dynamically inert structure. A candidate substrate volume should not gain merely from irrelevant added degrees of freedom. An added component should count only insofar as it changes value-capable consequential continuation.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 Persistence with foreclosure. Construct or reuse a case where two states have similar present access but one irreversibly removes repair or recovery routes. The longer-horizon continuation profile should register the loss without a separately fitted harm coefficient.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6. Implication for Gradient Ethics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current mathematical program can increasingly support structural statements about what policies preserve, expand, contract or deform the physical substrate on which future value depends. That can provide mathematical backing for Gradient Ethics without pretending that physics alone proves the final normative commitment.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present architecture is therefore: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physics -&gt; continuation structure -&gt; value substrate -&gt; lushness profile -&gt; dominance / tradeoff geometry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with the explicit normative bridge: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If value matters, preserve and develop the physical possibility of value.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Whether greater substrate extent is always better, whether a canonical lushness ordering exists, and how suffering, experience and other forms of realized value enter the comparison remain open. Those are targets for the model to adjudicate, not conclusions to protect.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Source context</w:t>
      </w:r>
    </w:p>
    <w:p w:rsidR="00000000" w:rsidDel="00000000" w:rsidP="00000000" w:rsidRDefault="00000000" w:rsidRPr="00000000" w14:paraId="0000005A">
      <w:pPr>
        <w:rPr/>
      </w:pPr>
      <w:r w:rsidDel="00000000" w:rsidR="00000000" w:rsidRPr="00000000">
        <w:rPr>
          <w:rtl w:val="0"/>
        </w:rPr>
        <w:t xml:space="preserve">This addendum should be read alongside the active Omega research branch, the v3.2 Gradient Ethics and Lushness chapters, and the October model-comparison ledger. The detailed modelling decisions are preserved as a separate reference in this Drive folder so that substrate choices can evolve independently of the normative addendum.</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