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91409" w14:textId="77777777" w:rsidR="00D116E6" w:rsidRPr="00E760BB" w:rsidRDefault="00000000">
      <w:pPr>
        <w:jc w:val="center"/>
        <w:rPr>
          <w:lang w:val="ru-RU"/>
        </w:rPr>
      </w:pPr>
      <w:r w:rsidRPr="00E760BB">
        <w:rPr>
          <w:lang w:val="ru-RU"/>
        </w:rPr>
        <w:t>Лабораторная работа №8</w:t>
      </w:r>
      <w:r w:rsidRPr="00E760BB">
        <w:rPr>
          <w:lang w:val="ru-RU"/>
        </w:rPr>
        <w:br/>
        <w:t>Проектирование архитектуры информационной системы</w:t>
      </w:r>
      <w:r w:rsidRPr="00E760BB">
        <w:rPr>
          <w:lang w:val="ru-RU"/>
        </w:rPr>
        <w:br/>
        <w:t>Вариант 6. Информационная система авиастроительного предприятия</w:t>
      </w:r>
    </w:p>
    <w:p w14:paraId="7E028EEF" w14:textId="77777777" w:rsidR="00D116E6" w:rsidRPr="00E760BB" w:rsidRDefault="00000000">
      <w:pPr>
        <w:pStyle w:val="1"/>
        <w:rPr>
          <w:lang w:val="ru-RU"/>
        </w:rPr>
      </w:pPr>
      <w:r w:rsidRPr="00E760BB">
        <w:rPr>
          <w:rFonts w:ascii="Times New Roman" w:hAnsi="Times New Roman"/>
          <w:lang w:val="ru-RU"/>
        </w:rPr>
        <w:t>Раздел 1 - Выбор архитектурного стиля</w:t>
      </w:r>
    </w:p>
    <w:p w14:paraId="433255B8" w14:textId="77777777" w:rsidR="00D116E6" w:rsidRPr="00E760BB" w:rsidRDefault="00000000">
      <w:pPr>
        <w:rPr>
          <w:lang w:val="ru-RU"/>
        </w:rPr>
      </w:pPr>
      <w:r w:rsidRPr="00E760BB">
        <w:rPr>
          <w:lang w:val="ru-RU"/>
        </w:rPr>
        <w:t>Для проектируемой информационной системы выбран архитектурный стиль клиент-сервер.</w:t>
      </w:r>
    </w:p>
    <w:p w14:paraId="77597297" w14:textId="77777777" w:rsidR="00E760BB" w:rsidRDefault="00E760BB" w:rsidP="00E760BB">
      <w:pPr>
        <w:jc w:val="center"/>
        <w:rPr>
          <w:noProof/>
        </w:rPr>
      </w:pPr>
    </w:p>
    <w:p w14:paraId="7D0F4716" w14:textId="23A7CC68" w:rsidR="00D116E6" w:rsidRDefault="00000000" w:rsidP="00E760BB">
      <w:pPr>
        <w:jc w:val="center"/>
      </w:pPr>
      <w:r>
        <w:rPr>
          <w:noProof/>
        </w:rPr>
        <w:drawing>
          <wp:inline distT="0" distB="0" distL="0" distR="0" wp14:anchorId="275069B8" wp14:editId="33C59D99">
            <wp:extent cx="6443662" cy="24155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8_arch_high_level.png"/>
                    <pic:cNvPicPr/>
                  </pic:nvPicPr>
                  <pic:blipFill rotWithShape="1">
                    <a:blip r:embed="rId6"/>
                    <a:srcRect t="1929" b="10905"/>
                    <a:stretch/>
                  </pic:blipFill>
                  <pic:spPr bwMode="auto">
                    <a:xfrm>
                      <a:off x="0" y="0"/>
                      <a:ext cx="6475799" cy="2427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270FA0" w14:textId="77777777" w:rsidR="00D116E6" w:rsidRPr="00E760BB" w:rsidRDefault="00000000">
      <w:pPr>
        <w:rPr>
          <w:lang w:val="ru-RU"/>
        </w:rPr>
      </w:pPr>
      <w:r w:rsidRPr="00E760BB">
        <w:rPr>
          <w:lang w:val="ru-RU"/>
        </w:rPr>
        <w:t xml:space="preserve">Клиентом является веб-интерфейс, которым пользуются сотрудники планово-диспетчерской службы, мастера, руководители цехов и работники испытательных лабораторий. Серверная часть содержит бизнес-логику и предоставляет единый </w:t>
      </w:r>
      <w:r>
        <w:t>REST</w:t>
      </w:r>
      <w:r w:rsidRPr="00E760BB">
        <w:rPr>
          <w:lang w:val="ru-RU"/>
        </w:rPr>
        <w:t xml:space="preserve"> </w:t>
      </w:r>
      <w:r>
        <w:t>API</w:t>
      </w:r>
      <w:r w:rsidRPr="00E760BB">
        <w:rPr>
          <w:lang w:val="ru-RU"/>
        </w:rPr>
        <w:t xml:space="preserve">. Данные хранятся в централизованной базе данных </w:t>
      </w:r>
      <w:r>
        <w:t>PostgreSQL</w:t>
      </w:r>
      <w:r w:rsidRPr="00E760BB">
        <w:rPr>
          <w:lang w:val="ru-RU"/>
        </w:rPr>
        <w:t>.</w:t>
      </w:r>
    </w:p>
    <w:p w14:paraId="4B8F580C" w14:textId="77777777" w:rsidR="00D116E6" w:rsidRPr="00E760BB" w:rsidRDefault="00000000">
      <w:pPr>
        <w:rPr>
          <w:lang w:val="ru-RU"/>
        </w:rPr>
      </w:pPr>
      <w:r w:rsidRPr="00E760BB">
        <w:rPr>
          <w:lang w:val="ru-RU"/>
        </w:rPr>
        <w:t>Этот стиль подходит для задачи, потому что система должна использоваться несколькими подразделениями предприятия одновременно. Важно, чтобы все участники работали с едиными данными об изделиях, маршрутах, бригадах, испытаниях и кадровом составе. Клиент-серверная архитектура позволяет не устанавливать отдельную программу на каждое рабочее место, а обновлять основную логику централизованно на сервере.</w:t>
      </w:r>
    </w:p>
    <w:p w14:paraId="5531A5EA" w14:textId="77777777" w:rsidR="00D116E6" w:rsidRPr="00E760BB" w:rsidRDefault="00000000">
      <w:pPr>
        <w:rPr>
          <w:lang w:val="ru-RU"/>
        </w:rPr>
      </w:pPr>
      <w:r w:rsidRPr="00E760BB">
        <w:rPr>
          <w:lang w:val="ru-RU"/>
        </w:rPr>
        <w:t>От монолита в виде локального настольного приложения отказано, потому что предприятие распределено по цехам, участкам и лабораториям. При локальной установке сложнее обеспечить единый актуальный справочник, контроль версий и одновременную работу пользователей. От микросервисов отказано, потому что система учебного масштаба, команда разработки небольшая, а нагрузка умеренная. Разделение на микросервисы усложнило бы развертывание, мониторинг и обмен данными без существенной пользы на текущем этапе.</w:t>
      </w:r>
    </w:p>
    <w:p w14:paraId="6CB6EEE0" w14:textId="77777777" w:rsidR="00D116E6" w:rsidRPr="00E760BB" w:rsidRDefault="00000000">
      <w:pPr>
        <w:rPr>
          <w:lang w:val="ru-RU"/>
        </w:rPr>
      </w:pPr>
      <w:r w:rsidRPr="00E760BB">
        <w:rPr>
          <w:lang w:val="ru-RU"/>
        </w:rPr>
        <w:t xml:space="preserve">Минусы клиент-серверного подхода: зависимость пользователей от доступности сервера и сети, необходимость защищать </w:t>
      </w:r>
      <w:r>
        <w:t>API</w:t>
      </w:r>
      <w:r w:rsidRPr="00E760BB">
        <w:rPr>
          <w:lang w:val="ru-RU"/>
        </w:rPr>
        <w:t xml:space="preserve"> и централизованную базу данных, а также риск перегрузки одного сервера при росте числа пользователей. Эти минусы компенсируются резервным </w:t>
      </w:r>
      <w:r w:rsidRPr="00E760BB">
        <w:rPr>
          <w:lang w:val="ru-RU"/>
        </w:rPr>
        <w:lastRenderedPageBreak/>
        <w:t>копированием, разграничением прав доступа, журналированием действий и возможностью перенести серверную часть на более мощную инфраструктуру при росте нагрузки.</w:t>
      </w:r>
    </w:p>
    <w:p w14:paraId="40F704A8" w14:textId="77777777" w:rsidR="00D116E6" w:rsidRDefault="00000000">
      <w:pPr>
        <w:pStyle w:val="1"/>
      </w:pPr>
      <w:r>
        <w:rPr>
          <w:rFonts w:ascii="Times New Roman" w:hAnsi="Times New Roman"/>
        </w:rPr>
        <w:t>Раздел 2 - Компоненты системы</w:t>
      </w:r>
    </w:p>
    <w:p w14:paraId="5F7A6F7B" w14:textId="77777777" w:rsidR="00D116E6" w:rsidRDefault="00000000" w:rsidP="00E760BB">
      <w:pPr>
        <w:jc w:val="center"/>
      </w:pPr>
      <w:r>
        <w:rPr>
          <w:noProof/>
        </w:rPr>
        <w:drawing>
          <wp:inline distT="0" distB="0" distL="0" distR="0" wp14:anchorId="099FEE1B" wp14:editId="7997C231">
            <wp:extent cx="6362685" cy="1788607"/>
            <wp:effectExtent l="0" t="0" r="635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8_arch_component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10469" cy="183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116E6" w14:paraId="1EA5578B" w14:textId="77777777">
        <w:tc>
          <w:tcPr>
            <w:tcW w:w="3324" w:type="dxa"/>
          </w:tcPr>
          <w:p w14:paraId="7713A257" w14:textId="77777777" w:rsidR="00D116E6" w:rsidRDefault="00000000">
            <w:r>
              <w:t>Компонент</w:t>
            </w:r>
          </w:p>
        </w:tc>
        <w:tc>
          <w:tcPr>
            <w:tcW w:w="3324" w:type="dxa"/>
          </w:tcPr>
          <w:p w14:paraId="4747C995" w14:textId="77777777" w:rsidR="00D116E6" w:rsidRDefault="00000000">
            <w:r>
              <w:t>Что делает</w:t>
            </w:r>
          </w:p>
        </w:tc>
        <w:tc>
          <w:tcPr>
            <w:tcW w:w="3324" w:type="dxa"/>
          </w:tcPr>
          <w:p w14:paraId="280D3B36" w14:textId="77777777" w:rsidR="00D116E6" w:rsidRDefault="00000000">
            <w:r>
              <w:t>Почему нужен в системе</w:t>
            </w:r>
          </w:p>
        </w:tc>
      </w:tr>
      <w:tr w:rsidR="00D116E6" w:rsidRPr="00E760BB" w14:paraId="5B830461" w14:textId="77777777">
        <w:tc>
          <w:tcPr>
            <w:tcW w:w="3324" w:type="dxa"/>
          </w:tcPr>
          <w:p w14:paraId="481C2991" w14:textId="77777777" w:rsidR="00D116E6" w:rsidRDefault="00000000">
            <w:r>
              <w:t>Веб-клиент</w:t>
            </w:r>
          </w:p>
        </w:tc>
        <w:tc>
          <w:tcPr>
            <w:tcW w:w="3324" w:type="dxa"/>
          </w:tcPr>
          <w:p w14:paraId="7B7370BF" w14:textId="77777777" w:rsidR="00D116E6" w:rsidRPr="00E760BB" w:rsidRDefault="00000000">
            <w:pPr>
              <w:rPr>
                <w:lang w:val="ru-RU"/>
              </w:rPr>
            </w:pPr>
            <w:r w:rsidRPr="00E760BB">
              <w:rPr>
                <w:lang w:val="ru-RU"/>
              </w:rPr>
              <w:t>Предоставляет экранные формы для работы с изделиями, маршрутами, персоналом, бригадами, испытаниями и отчетами.</w:t>
            </w:r>
          </w:p>
        </w:tc>
        <w:tc>
          <w:tcPr>
            <w:tcW w:w="3324" w:type="dxa"/>
          </w:tcPr>
          <w:p w14:paraId="16B93DC2" w14:textId="77777777" w:rsidR="00D116E6" w:rsidRPr="00E760BB" w:rsidRDefault="00000000">
            <w:pPr>
              <w:rPr>
                <w:lang w:val="ru-RU"/>
              </w:rPr>
            </w:pPr>
            <w:r w:rsidRPr="00E760BB">
              <w:rPr>
                <w:lang w:val="ru-RU"/>
              </w:rPr>
              <w:t>Пользователи находятся в разных подразделениях, поэтому браузерный интерфейс проще сопровождать, чем отдельные установки на рабочих местах.</w:t>
            </w:r>
          </w:p>
        </w:tc>
      </w:tr>
      <w:tr w:rsidR="00D116E6" w:rsidRPr="00E760BB" w14:paraId="248E2B70" w14:textId="77777777">
        <w:tc>
          <w:tcPr>
            <w:tcW w:w="3324" w:type="dxa"/>
          </w:tcPr>
          <w:p w14:paraId="4C4BF353" w14:textId="77777777" w:rsidR="00D116E6" w:rsidRDefault="00000000">
            <w:r>
              <w:t>Nginx</w:t>
            </w:r>
          </w:p>
        </w:tc>
        <w:tc>
          <w:tcPr>
            <w:tcW w:w="3324" w:type="dxa"/>
          </w:tcPr>
          <w:p w14:paraId="18C29B2F" w14:textId="77777777" w:rsidR="00D116E6" w:rsidRPr="00E760BB" w:rsidRDefault="00000000">
            <w:pPr>
              <w:rPr>
                <w:lang w:val="ru-RU"/>
              </w:rPr>
            </w:pPr>
            <w:r w:rsidRPr="00E760BB">
              <w:rPr>
                <w:lang w:val="ru-RU"/>
              </w:rPr>
              <w:t xml:space="preserve">Принимает </w:t>
            </w:r>
            <w:r>
              <w:t>HTTPS</w:t>
            </w:r>
            <w:r w:rsidRPr="00E760BB">
              <w:rPr>
                <w:lang w:val="ru-RU"/>
              </w:rPr>
              <w:t xml:space="preserve">-запросы, раздает статические файлы фронтенда и проксирует </w:t>
            </w:r>
            <w:r>
              <w:t>API</w:t>
            </w:r>
            <w:r w:rsidRPr="00E760BB">
              <w:rPr>
                <w:lang w:val="ru-RU"/>
              </w:rPr>
              <w:t xml:space="preserve">-запросы на </w:t>
            </w:r>
            <w:r>
              <w:t>backend</w:t>
            </w:r>
            <w:r w:rsidRPr="00E760BB">
              <w:rPr>
                <w:lang w:val="ru-RU"/>
              </w:rPr>
              <w:t>.</w:t>
            </w:r>
          </w:p>
        </w:tc>
        <w:tc>
          <w:tcPr>
            <w:tcW w:w="3324" w:type="dxa"/>
          </w:tcPr>
          <w:p w14:paraId="7CC8205B" w14:textId="77777777" w:rsidR="00D116E6" w:rsidRPr="00E760BB" w:rsidRDefault="00000000">
            <w:pPr>
              <w:rPr>
                <w:lang w:val="ru-RU"/>
              </w:rPr>
            </w:pPr>
            <w:r w:rsidRPr="00E760BB">
              <w:rPr>
                <w:lang w:val="ru-RU"/>
              </w:rPr>
              <w:t xml:space="preserve">Нужен как единая точка входа, чтобы отделить внешний доступ от приложения и централизованно настроить </w:t>
            </w:r>
            <w:r>
              <w:t>TLS</w:t>
            </w:r>
            <w:r w:rsidRPr="00E760BB">
              <w:rPr>
                <w:lang w:val="ru-RU"/>
              </w:rPr>
              <w:t>.</w:t>
            </w:r>
          </w:p>
        </w:tc>
      </w:tr>
      <w:tr w:rsidR="00D116E6" w:rsidRPr="00E760BB" w14:paraId="4EE9F642" w14:textId="77777777">
        <w:tc>
          <w:tcPr>
            <w:tcW w:w="3324" w:type="dxa"/>
          </w:tcPr>
          <w:p w14:paraId="7D251C35" w14:textId="77777777" w:rsidR="00D116E6" w:rsidRDefault="00000000">
            <w:r>
              <w:t>Backend API</w:t>
            </w:r>
          </w:p>
        </w:tc>
        <w:tc>
          <w:tcPr>
            <w:tcW w:w="3324" w:type="dxa"/>
          </w:tcPr>
          <w:p w14:paraId="13B82A1F" w14:textId="77777777" w:rsidR="00D116E6" w:rsidRPr="00E760BB" w:rsidRDefault="00000000">
            <w:pPr>
              <w:rPr>
                <w:lang w:val="ru-RU"/>
              </w:rPr>
            </w:pPr>
            <w:r w:rsidRPr="00E760BB">
              <w:rPr>
                <w:lang w:val="ru-RU"/>
              </w:rPr>
              <w:t>Обрабатывает запросы клиента, проверяет права, выполняет бизнес-операции и обращается к БД.</w:t>
            </w:r>
          </w:p>
        </w:tc>
        <w:tc>
          <w:tcPr>
            <w:tcW w:w="3324" w:type="dxa"/>
          </w:tcPr>
          <w:p w14:paraId="1B34AD52" w14:textId="77777777" w:rsidR="00D116E6" w:rsidRPr="00E760BB" w:rsidRDefault="00000000">
            <w:pPr>
              <w:rPr>
                <w:lang w:val="ru-RU"/>
              </w:rPr>
            </w:pPr>
            <w:r w:rsidRPr="00E760BB">
              <w:rPr>
                <w:lang w:val="ru-RU"/>
              </w:rPr>
              <w:t>Вся логика маршрута изделия, назначений бригад и фиксации испытаний должна выполняться единообразно на сервере.</w:t>
            </w:r>
          </w:p>
        </w:tc>
      </w:tr>
      <w:tr w:rsidR="00D116E6" w:rsidRPr="00E760BB" w14:paraId="7B38DE46" w14:textId="77777777">
        <w:tc>
          <w:tcPr>
            <w:tcW w:w="3324" w:type="dxa"/>
          </w:tcPr>
          <w:p w14:paraId="00992928" w14:textId="77777777" w:rsidR="00D116E6" w:rsidRDefault="00000000">
            <w:r>
              <w:t>PostgreSQL</w:t>
            </w:r>
          </w:p>
        </w:tc>
        <w:tc>
          <w:tcPr>
            <w:tcW w:w="3324" w:type="dxa"/>
          </w:tcPr>
          <w:p w14:paraId="0ECC9B95" w14:textId="77777777" w:rsidR="00D116E6" w:rsidRPr="00E760BB" w:rsidRDefault="00000000">
            <w:pPr>
              <w:rPr>
                <w:lang w:val="ru-RU"/>
              </w:rPr>
            </w:pPr>
            <w:r w:rsidRPr="00E760BB">
              <w:rPr>
                <w:lang w:val="ru-RU"/>
              </w:rPr>
              <w:t>Хранит нормализованные данные: изделия, категории, цеха, участки, сотрудников, бригады, операции, испытания.</w:t>
            </w:r>
          </w:p>
        </w:tc>
        <w:tc>
          <w:tcPr>
            <w:tcW w:w="3324" w:type="dxa"/>
          </w:tcPr>
          <w:p w14:paraId="5A795182" w14:textId="77777777" w:rsidR="00D116E6" w:rsidRPr="00E760BB" w:rsidRDefault="00000000">
            <w:pPr>
              <w:rPr>
                <w:lang w:val="ru-RU"/>
              </w:rPr>
            </w:pPr>
            <w:r w:rsidRPr="00E760BB">
              <w:rPr>
                <w:lang w:val="ru-RU"/>
              </w:rPr>
              <w:t xml:space="preserve">Модель данных реляционная, в ней много связей </w:t>
            </w:r>
            <w:r>
              <w:t>PK</w:t>
            </w:r>
            <w:r w:rsidRPr="00E760BB">
              <w:rPr>
                <w:lang w:val="ru-RU"/>
              </w:rPr>
              <w:t>/</w:t>
            </w:r>
            <w:r>
              <w:t>FK</w:t>
            </w:r>
            <w:r w:rsidRPr="00E760BB">
              <w:rPr>
                <w:lang w:val="ru-RU"/>
              </w:rPr>
              <w:t xml:space="preserve"> и нужны транзакции при фиксации производственных операций.</w:t>
            </w:r>
          </w:p>
        </w:tc>
      </w:tr>
      <w:tr w:rsidR="00D116E6" w:rsidRPr="00E760BB" w14:paraId="70462BE6" w14:textId="77777777">
        <w:tc>
          <w:tcPr>
            <w:tcW w:w="3324" w:type="dxa"/>
          </w:tcPr>
          <w:p w14:paraId="4FB4171E" w14:textId="77777777" w:rsidR="00D116E6" w:rsidRDefault="00000000">
            <w:r>
              <w:t>Файловое хранилище</w:t>
            </w:r>
          </w:p>
        </w:tc>
        <w:tc>
          <w:tcPr>
            <w:tcW w:w="3324" w:type="dxa"/>
          </w:tcPr>
          <w:p w14:paraId="4AE7C51F" w14:textId="77777777" w:rsidR="00D116E6" w:rsidRPr="00E760BB" w:rsidRDefault="00000000">
            <w:pPr>
              <w:rPr>
                <w:lang w:val="ru-RU"/>
              </w:rPr>
            </w:pPr>
            <w:r w:rsidRPr="00E760BB">
              <w:rPr>
                <w:lang w:val="ru-RU"/>
              </w:rPr>
              <w:t xml:space="preserve">Хранит </w:t>
            </w:r>
            <w:r>
              <w:t>PDF</w:t>
            </w:r>
            <w:r w:rsidRPr="00E760BB">
              <w:rPr>
                <w:lang w:val="ru-RU"/>
              </w:rPr>
              <w:t>-протоколы испытаний, выгрузки отчетов и служебные вложения.</w:t>
            </w:r>
          </w:p>
        </w:tc>
        <w:tc>
          <w:tcPr>
            <w:tcW w:w="3324" w:type="dxa"/>
          </w:tcPr>
          <w:p w14:paraId="38820D54" w14:textId="77777777" w:rsidR="00D116E6" w:rsidRPr="00E760BB" w:rsidRDefault="00000000">
            <w:pPr>
              <w:rPr>
                <w:lang w:val="ru-RU"/>
              </w:rPr>
            </w:pPr>
            <w:r w:rsidRPr="00E760BB">
              <w:rPr>
                <w:lang w:val="ru-RU"/>
              </w:rPr>
              <w:t>Такие файлы нецелесообразно хранить в таблицах БД как обычные поля, но их нужно связывать с изделиями и испытаниями.</w:t>
            </w:r>
          </w:p>
        </w:tc>
      </w:tr>
      <w:tr w:rsidR="00D116E6" w:rsidRPr="00E760BB" w14:paraId="467C4989" w14:textId="77777777">
        <w:tc>
          <w:tcPr>
            <w:tcW w:w="3324" w:type="dxa"/>
          </w:tcPr>
          <w:p w14:paraId="4F0F1555" w14:textId="77777777" w:rsidR="00D116E6" w:rsidRDefault="00000000">
            <w:r>
              <w:t>Резервные копии</w:t>
            </w:r>
          </w:p>
        </w:tc>
        <w:tc>
          <w:tcPr>
            <w:tcW w:w="3324" w:type="dxa"/>
          </w:tcPr>
          <w:p w14:paraId="10B2449C" w14:textId="77777777" w:rsidR="00D116E6" w:rsidRPr="00E760BB" w:rsidRDefault="00000000">
            <w:pPr>
              <w:rPr>
                <w:lang w:val="ru-RU"/>
              </w:rPr>
            </w:pPr>
            <w:r w:rsidRPr="00E760BB">
              <w:rPr>
                <w:lang w:val="ru-RU"/>
              </w:rPr>
              <w:t>Регулярно сохраняют копии базы данных и файлов.</w:t>
            </w:r>
          </w:p>
        </w:tc>
        <w:tc>
          <w:tcPr>
            <w:tcW w:w="3324" w:type="dxa"/>
          </w:tcPr>
          <w:p w14:paraId="21FEC946" w14:textId="77777777" w:rsidR="00D116E6" w:rsidRPr="00E760BB" w:rsidRDefault="00000000">
            <w:pPr>
              <w:rPr>
                <w:lang w:val="ru-RU"/>
              </w:rPr>
            </w:pPr>
            <w:r w:rsidRPr="00E760BB">
              <w:rPr>
                <w:lang w:val="ru-RU"/>
              </w:rPr>
              <w:t>Система ведет учет выпускаемой продукции и кадров, потеря этих данных критична для предприятия.</w:t>
            </w:r>
          </w:p>
        </w:tc>
      </w:tr>
    </w:tbl>
    <w:p w14:paraId="291DF512" w14:textId="77777777" w:rsidR="00D116E6" w:rsidRPr="00E760BB" w:rsidRDefault="00000000">
      <w:pPr>
        <w:rPr>
          <w:lang w:val="ru-RU"/>
        </w:rPr>
      </w:pPr>
      <w:r w:rsidRPr="00E760BB">
        <w:rPr>
          <w:lang w:val="ru-RU"/>
        </w:rPr>
        <w:lastRenderedPageBreak/>
        <w:t xml:space="preserve">Кеш, </w:t>
      </w:r>
      <w:r>
        <w:t>CDN</w:t>
      </w:r>
      <w:r w:rsidRPr="00E760BB">
        <w:rPr>
          <w:lang w:val="ru-RU"/>
        </w:rPr>
        <w:t xml:space="preserve">, брокер сообщений и балансировщик нагрузки на начальном этапе не добавляются. Кеш не нужен, потому что расчетная нагрузка небольшая и основная нагрузка приходится на обычные </w:t>
      </w:r>
      <w:r>
        <w:t>CRUD</w:t>
      </w:r>
      <w:r w:rsidRPr="00E760BB">
        <w:rPr>
          <w:lang w:val="ru-RU"/>
        </w:rPr>
        <w:t>-запросы. Брокер сообщений также не нужен: операции фиксации работ и испытаний должны подтверждаться синхронно, чтобы пользователь сразу видел результат.</w:t>
      </w:r>
    </w:p>
    <w:p w14:paraId="7D4F8761" w14:textId="77777777" w:rsidR="00D116E6" w:rsidRPr="00E760BB" w:rsidRDefault="00000000">
      <w:pPr>
        <w:pStyle w:val="1"/>
        <w:rPr>
          <w:lang w:val="ru-RU"/>
        </w:rPr>
      </w:pPr>
      <w:r w:rsidRPr="00E760BB">
        <w:rPr>
          <w:rFonts w:ascii="Times New Roman" w:hAnsi="Times New Roman"/>
          <w:lang w:val="ru-RU"/>
        </w:rPr>
        <w:t>Раздел 3 - Оценка нагрузки</w:t>
      </w:r>
    </w:p>
    <w:p w14:paraId="6F099E41" w14:textId="77777777" w:rsidR="00D116E6" w:rsidRPr="00E760BB" w:rsidRDefault="00000000">
      <w:pPr>
        <w:rPr>
          <w:lang w:val="ru-RU"/>
        </w:rPr>
      </w:pPr>
      <w:r w:rsidRPr="00E760BB">
        <w:rPr>
          <w:lang w:val="ru-RU"/>
        </w:rPr>
        <w:t xml:space="preserve">Оценка выполнена методом </w:t>
      </w:r>
      <w:r>
        <w:t>back</w:t>
      </w:r>
      <w:r w:rsidRPr="00E760BB">
        <w:rPr>
          <w:lang w:val="ru-RU"/>
        </w:rPr>
        <w:t>-</w:t>
      </w:r>
      <w:r>
        <w:t>of</w:t>
      </w:r>
      <w:r w:rsidRPr="00E760BB">
        <w:rPr>
          <w:lang w:val="ru-RU"/>
        </w:rPr>
        <w:t>-</w:t>
      </w:r>
      <w:r>
        <w:t>the</w:t>
      </w:r>
      <w:r w:rsidRPr="00E760BB">
        <w:rPr>
          <w:lang w:val="ru-RU"/>
        </w:rPr>
        <w:t>-</w:t>
      </w:r>
      <w:r>
        <w:t>envelope</w:t>
      </w:r>
      <w:r w:rsidRPr="00E760BB">
        <w:rPr>
          <w:lang w:val="ru-RU"/>
        </w:rPr>
        <w:t>. Для учебного проекта принимается реалистичный сценарий среднего авиастроительного предприятия.</w:t>
      </w:r>
    </w:p>
    <w:p w14:paraId="5F0913EE" w14:textId="77777777" w:rsidR="00D116E6" w:rsidRPr="00E760BB" w:rsidRDefault="00000000">
      <w:pPr>
        <w:rPr>
          <w:lang w:val="ru-RU"/>
        </w:rPr>
      </w:pPr>
      <w:r>
        <w:t>DAU</w:t>
      </w:r>
      <w:r w:rsidRPr="00E760BB">
        <w:rPr>
          <w:lang w:val="ru-RU"/>
        </w:rPr>
        <w:t>: 120 активных пользователей в день. В расчет входят диспетчеры, мастера, начальники участков и цехов, сотрудники лабораторий, кадровые сотрудники и руководители.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D116E6" w14:paraId="64F3590B" w14:textId="77777777">
        <w:tc>
          <w:tcPr>
            <w:tcW w:w="3324" w:type="dxa"/>
          </w:tcPr>
          <w:p w14:paraId="7A4E7616" w14:textId="77777777" w:rsidR="00D116E6" w:rsidRDefault="00000000">
            <w:r>
              <w:t>Действие</w:t>
            </w:r>
          </w:p>
        </w:tc>
        <w:tc>
          <w:tcPr>
            <w:tcW w:w="3324" w:type="dxa"/>
          </w:tcPr>
          <w:p w14:paraId="2F152806" w14:textId="77777777" w:rsidR="00D116E6" w:rsidRPr="00E760BB" w:rsidRDefault="00000000">
            <w:pPr>
              <w:rPr>
                <w:lang w:val="ru-RU"/>
              </w:rPr>
            </w:pPr>
            <w:r w:rsidRPr="00E760BB">
              <w:rPr>
                <w:lang w:val="ru-RU"/>
              </w:rPr>
              <w:t>Оценка на пользователя в день</w:t>
            </w:r>
          </w:p>
        </w:tc>
        <w:tc>
          <w:tcPr>
            <w:tcW w:w="3324" w:type="dxa"/>
          </w:tcPr>
          <w:p w14:paraId="59AD35BC" w14:textId="77777777" w:rsidR="00D116E6" w:rsidRDefault="00000000">
            <w:r>
              <w:t>Всего в день</w:t>
            </w:r>
          </w:p>
        </w:tc>
      </w:tr>
      <w:tr w:rsidR="00D116E6" w14:paraId="5A998876" w14:textId="77777777">
        <w:tc>
          <w:tcPr>
            <w:tcW w:w="3324" w:type="dxa"/>
          </w:tcPr>
          <w:p w14:paraId="66ABDC7A" w14:textId="77777777" w:rsidR="00D116E6" w:rsidRPr="00E760BB" w:rsidRDefault="00000000">
            <w:pPr>
              <w:rPr>
                <w:lang w:val="ru-RU"/>
              </w:rPr>
            </w:pPr>
            <w:r w:rsidRPr="00E760BB">
              <w:rPr>
                <w:lang w:val="ru-RU"/>
              </w:rPr>
              <w:t>Просмотр списков изделий, участков, бригад</w:t>
            </w:r>
          </w:p>
        </w:tc>
        <w:tc>
          <w:tcPr>
            <w:tcW w:w="3324" w:type="dxa"/>
          </w:tcPr>
          <w:p w14:paraId="6A361A38" w14:textId="77777777" w:rsidR="00D116E6" w:rsidRDefault="00000000">
            <w:r>
              <w:t>30</w:t>
            </w:r>
          </w:p>
        </w:tc>
        <w:tc>
          <w:tcPr>
            <w:tcW w:w="3324" w:type="dxa"/>
          </w:tcPr>
          <w:p w14:paraId="3898D7BF" w14:textId="77777777" w:rsidR="00D116E6" w:rsidRDefault="00000000">
            <w:r>
              <w:t>120 * 30 = 3600 запросов</w:t>
            </w:r>
          </w:p>
        </w:tc>
      </w:tr>
      <w:tr w:rsidR="00D116E6" w14:paraId="65F59331" w14:textId="77777777">
        <w:tc>
          <w:tcPr>
            <w:tcW w:w="3324" w:type="dxa"/>
          </w:tcPr>
          <w:p w14:paraId="4F14FB0C" w14:textId="77777777" w:rsidR="00D116E6" w:rsidRPr="00E760BB" w:rsidRDefault="00000000">
            <w:pPr>
              <w:rPr>
                <w:lang w:val="ru-RU"/>
              </w:rPr>
            </w:pPr>
            <w:r w:rsidRPr="00E760BB">
              <w:rPr>
                <w:lang w:val="ru-RU"/>
              </w:rPr>
              <w:t>Создание или изменение производственных записей</w:t>
            </w:r>
          </w:p>
        </w:tc>
        <w:tc>
          <w:tcPr>
            <w:tcW w:w="3324" w:type="dxa"/>
          </w:tcPr>
          <w:p w14:paraId="72EFCF93" w14:textId="77777777" w:rsidR="00D116E6" w:rsidRDefault="00000000">
            <w:r>
              <w:t>10</w:t>
            </w:r>
          </w:p>
        </w:tc>
        <w:tc>
          <w:tcPr>
            <w:tcW w:w="3324" w:type="dxa"/>
          </w:tcPr>
          <w:p w14:paraId="74FB40E5" w14:textId="77777777" w:rsidR="00D116E6" w:rsidRDefault="00000000">
            <w:r>
              <w:t>120 * 10 = 1200 запросов</w:t>
            </w:r>
          </w:p>
        </w:tc>
      </w:tr>
      <w:tr w:rsidR="00D116E6" w14:paraId="24D0264A" w14:textId="77777777">
        <w:tc>
          <w:tcPr>
            <w:tcW w:w="3324" w:type="dxa"/>
          </w:tcPr>
          <w:p w14:paraId="191C9E56" w14:textId="77777777" w:rsidR="00D116E6" w:rsidRDefault="00000000">
            <w:r>
              <w:t>Фиксация операций и доработок</w:t>
            </w:r>
          </w:p>
        </w:tc>
        <w:tc>
          <w:tcPr>
            <w:tcW w:w="3324" w:type="dxa"/>
          </w:tcPr>
          <w:p w14:paraId="79F3136B" w14:textId="77777777" w:rsidR="00D116E6" w:rsidRDefault="00000000">
            <w:r>
              <w:t>8</w:t>
            </w:r>
          </w:p>
        </w:tc>
        <w:tc>
          <w:tcPr>
            <w:tcW w:w="3324" w:type="dxa"/>
          </w:tcPr>
          <w:p w14:paraId="7D3CE954" w14:textId="77777777" w:rsidR="00D116E6" w:rsidRDefault="00000000">
            <w:r>
              <w:t>120 * 8 = 960 запросов</w:t>
            </w:r>
          </w:p>
        </w:tc>
      </w:tr>
      <w:tr w:rsidR="00D116E6" w14:paraId="24F7CCAA" w14:textId="77777777">
        <w:tc>
          <w:tcPr>
            <w:tcW w:w="3324" w:type="dxa"/>
          </w:tcPr>
          <w:p w14:paraId="6059B893" w14:textId="77777777" w:rsidR="00D116E6" w:rsidRDefault="00000000">
            <w:r>
              <w:t>Работа с испытаниями</w:t>
            </w:r>
          </w:p>
        </w:tc>
        <w:tc>
          <w:tcPr>
            <w:tcW w:w="3324" w:type="dxa"/>
          </w:tcPr>
          <w:p w14:paraId="6D0ADB7B" w14:textId="77777777" w:rsidR="00D116E6" w:rsidRDefault="00000000">
            <w:r>
              <w:t>3</w:t>
            </w:r>
          </w:p>
        </w:tc>
        <w:tc>
          <w:tcPr>
            <w:tcW w:w="3324" w:type="dxa"/>
          </w:tcPr>
          <w:p w14:paraId="5492F618" w14:textId="77777777" w:rsidR="00D116E6" w:rsidRDefault="00000000">
            <w:r>
              <w:t>120 * 3 = 360 запросов</w:t>
            </w:r>
          </w:p>
        </w:tc>
      </w:tr>
      <w:tr w:rsidR="00D116E6" w14:paraId="6C435D41" w14:textId="77777777">
        <w:tc>
          <w:tcPr>
            <w:tcW w:w="3324" w:type="dxa"/>
          </w:tcPr>
          <w:p w14:paraId="51735658" w14:textId="77777777" w:rsidR="00D116E6" w:rsidRDefault="00000000">
            <w:r>
              <w:t>Формирование отчетов</w:t>
            </w:r>
          </w:p>
        </w:tc>
        <w:tc>
          <w:tcPr>
            <w:tcW w:w="3324" w:type="dxa"/>
          </w:tcPr>
          <w:p w14:paraId="50C45DD6" w14:textId="77777777" w:rsidR="00D116E6" w:rsidRDefault="00000000">
            <w:r>
              <w:t>2</w:t>
            </w:r>
          </w:p>
        </w:tc>
        <w:tc>
          <w:tcPr>
            <w:tcW w:w="3324" w:type="dxa"/>
          </w:tcPr>
          <w:p w14:paraId="1850BBDA" w14:textId="77777777" w:rsidR="00D116E6" w:rsidRDefault="00000000">
            <w:r>
              <w:t>120 * 2 = 240 запросов</w:t>
            </w:r>
          </w:p>
        </w:tc>
      </w:tr>
    </w:tbl>
    <w:p w14:paraId="6F5D7641" w14:textId="77777777" w:rsidR="00D116E6" w:rsidRPr="00E760BB" w:rsidRDefault="00000000">
      <w:pPr>
        <w:rPr>
          <w:lang w:val="ru-RU"/>
        </w:rPr>
      </w:pPr>
      <w:r w:rsidRPr="00E760BB">
        <w:rPr>
          <w:lang w:val="ru-RU"/>
        </w:rPr>
        <w:t>Всего за день: 3600 + 1200 + 960 + 360 + 240 = 6360 пользовательских запросов.</w:t>
      </w:r>
    </w:p>
    <w:p w14:paraId="6F8E8E53" w14:textId="77777777" w:rsidR="00D116E6" w:rsidRPr="00E760BB" w:rsidRDefault="00000000">
      <w:pPr>
        <w:rPr>
          <w:lang w:val="ru-RU"/>
        </w:rPr>
      </w:pPr>
      <w:r w:rsidRPr="00E760BB">
        <w:rPr>
          <w:lang w:val="ru-RU"/>
        </w:rPr>
        <w:t xml:space="preserve">Если рабочий день длится 8 часов, то средний </w:t>
      </w:r>
      <w:r>
        <w:t>RPS</w:t>
      </w:r>
      <w:r w:rsidRPr="00E760BB">
        <w:rPr>
          <w:lang w:val="ru-RU"/>
        </w:rPr>
        <w:t xml:space="preserve"> равен 6360 / (8 * 3600) = 0,22 запроса в секунду. Пиковый </w:t>
      </w:r>
      <w:r>
        <w:t>RPS</w:t>
      </w:r>
      <w:r w:rsidRPr="00E760BB">
        <w:rPr>
          <w:lang w:val="ru-RU"/>
        </w:rPr>
        <w:t xml:space="preserve"> принимаем с коэффициентом 3: 0,22 * 3 = 0,66 запроса в секунду. Даже если округлить с запасом до 2 </w:t>
      </w:r>
      <w:r>
        <w:t>RPS</w:t>
      </w:r>
      <w:r w:rsidRPr="00E760BB">
        <w:rPr>
          <w:lang w:val="ru-RU"/>
        </w:rPr>
        <w:t>, нагрузка остается небольшой.</w:t>
      </w:r>
    </w:p>
    <w:p w14:paraId="4AF709F3" w14:textId="77777777" w:rsidR="00D116E6" w:rsidRPr="00E760BB" w:rsidRDefault="00000000">
      <w:pPr>
        <w:rPr>
          <w:lang w:val="ru-RU"/>
        </w:rPr>
      </w:pPr>
      <w:r w:rsidRPr="00E760BB">
        <w:rPr>
          <w:lang w:val="ru-RU"/>
        </w:rPr>
        <w:t>Данные: допустим, в день создается около 200 производственных записей, 40 записей испытаний, 20 кадровых изменений и 20 файлов протоколов. Средняя производственная запись занимает около 2 КБ, запись испытаний - 3 КБ, кадровая запись - 2 КБ. Метаданные за день: 200 * 2 КБ + 40 * 3 КБ + 20 * 2 КБ = 560 КБ. Файлы протоколов: 20 * 500 КБ = 10 МБ в день.</w:t>
      </w:r>
    </w:p>
    <w:p w14:paraId="02459C9A" w14:textId="77777777" w:rsidR="00D116E6" w:rsidRPr="00E760BB" w:rsidRDefault="00000000">
      <w:pPr>
        <w:rPr>
          <w:lang w:val="ru-RU"/>
        </w:rPr>
      </w:pPr>
      <w:r w:rsidRPr="00E760BB">
        <w:rPr>
          <w:lang w:val="ru-RU"/>
        </w:rPr>
        <w:t>За год: метаданные 560 КБ * 365 = около 204 МБ. Файлы 10 МБ * 365 = около 3,65 ГБ. Даже с запасом на индексы, журналы и рост объема достаточно одного сервера с резервным копированием.</w:t>
      </w:r>
    </w:p>
    <w:p w14:paraId="439573F2" w14:textId="77777777" w:rsidR="00D116E6" w:rsidRPr="00E760BB" w:rsidRDefault="00000000">
      <w:pPr>
        <w:rPr>
          <w:lang w:val="ru-RU"/>
        </w:rPr>
      </w:pPr>
      <w:r w:rsidRPr="00E760BB">
        <w:rPr>
          <w:lang w:val="ru-RU"/>
        </w:rPr>
        <w:t xml:space="preserve">Вывод: горизонтальное масштабирование прямо сейчас не требуется. Достаточно одного сервера приложения и одной </w:t>
      </w:r>
      <w:r>
        <w:t>PostgreSQL</w:t>
      </w:r>
      <w:r w:rsidRPr="00E760BB">
        <w:rPr>
          <w:lang w:val="ru-RU"/>
        </w:rPr>
        <w:t xml:space="preserve"> БД. Масштабирование понадобится при росте до сотен одновременных пользователей, появлении внешнего мобильного клиента или значительном увеличении объема отчетов и файлов.</w:t>
      </w:r>
    </w:p>
    <w:p w14:paraId="578DE701" w14:textId="77777777" w:rsidR="00D116E6" w:rsidRDefault="00000000">
      <w:pPr>
        <w:pStyle w:val="1"/>
      </w:pPr>
      <w:r>
        <w:rPr>
          <w:rFonts w:ascii="Times New Roman" w:hAnsi="Times New Roman"/>
        </w:rPr>
        <w:t>Раздел 4 - Выбор стека технологий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D116E6" w14:paraId="674F68EF" w14:textId="77777777">
        <w:tc>
          <w:tcPr>
            <w:tcW w:w="2493" w:type="dxa"/>
          </w:tcPr>
          <w:p w14:paraId="79E3E4E8" w14:textId="77777777" w:rsidR="00D116E6" w:rsidRDefault="00000000">
            <w:r>
              <w:t>Слой</w:t>
            </w:r>
          </w:p>
        </w:tc>
        <w:tc>
          <w:tcPr>
            <w:tcW w:w="2493" w:type="dxa"/>
          </w:tcPr>
          <w:p w14:paraId="36D1866D" w14:textId="77777777" w:rsidR="00D116E6" w:rsidRDefault="00000000">
            <w:r>
              <w:t>Выбор</w:t>
            </w:r>
          </w:p>
        </w:tc>
        <w:tc>
          <w:tcPr>
            <w:tcW w:w="2493" w:type="dxa"/>
          </w:tcPr>
          <w:p w14:paraId="1F1EDE0A" w14:textId="77777777" w:rsidR="00D116E6" w:rsidRDefault="00000000">
            <w:r>
              <w:t>Обоснование</w:t>
            </w:r>
          </w:p>
        </w:tc>
        <w:tc>
          <w:tcPr>
            <w:tcW w:w="2493" w:type="dxa"/>
          </w:tcPr>
          <w:p w14:paraId="7E38E252" w14:textId="77777777" w:rsidR="00D116E6" w:rsidRDefault="00000000">
            <w:r>
              <w:t>Альтернатива и отказ</w:t>
            </w:r>
          </w:p>
        </w:tc>
      </w:tr>
      <w:tr w:rsidR="00D116E6" w:rsidRPr="00E760BB" w14:paraId="74EC267E" w14:textId="77777777">
        <w:tc>
          <w:tcPr>
            <w:tcW w:w="2493" w:type="dxa"/>
          </w:tcPr>
          <w:p w14:paraId="6C79907B" w14:textId="77777777" w:rsidR="00D116E6" w:rsidRDefault="00000000">
            <w:r>
              <w:lastRenderedPageBreak/>
              <w:t>Бэкенд</w:t>
            </w:r>
          </w:p>
        </w:tc>
        <w:tc>
          <w:tcPr>
            <w:tcW w:w="2493" w:type="dxa"/>
          </w:tcPr>
          <w:p w14:paraId="0EA8C1F6" w14:textId="77777777" w:rsidR="00D116E6" w:rsidRDefault="00000000">
            <w:r>
              <w:t>Python + FastAPI</w:t>
            </w:r>
          </w:p>
        </w:tc>
        <w:tc>
          <w:tcPr>
            <w:tcW w:w="2493" w:type="dxa"/>
          </w:tcPr>
          <w:p w14:paraId="7B25B6D5" w14:textId="77777777" w:rsidR="00D116E6" w:rsidRPr="00E760BB" w:rsidRDefault="00000000">
            <w:pPr>
              <w:rPr>
                <w:lang w:val="ru-RU"/>
              </w:rPr>
            </w:pPr>
            <w:r>
              <w:t>FastAPI</w:t>
            </w:r>
            <w:r w:rsidRPr="00E760BB">
              <w:rPr>
                <w:lang w:val="ru-RU"/>
              </w:rPr>
              <w:t xml:space="preserve"> подходит для </w:t>
            </w:r>
            <w:r>
              <w:t>REST</w:t>
            </w:r>
            <w:r w:rsidRPr="00E760BB">
              <w:rPr>
                <w:lang w:val="ru-RU"/>
              </w:rPr>
              <w:t xml:space="preserve"> </w:t>
            </w:r>
            <w:r>
              <w:t>API</w:t>
            </w:r>
            <w:r w:rsidRPr="00E760BB">
              <w:rPr>
                <w:lang w:val="ru-RU"/>
              </w:rPr>
              <w:t xml:space="preserve">, строгой валидации входных данных и быстрой разработки </w:t>
            </w:r>
            <w:r>
              <w:t>CRUD</w:t>
            </w:r>
            <w:r w:rsidRPr="00E760BB">
              <w:rPr>
                <w:lang w:val="ru-RU"/>
              </w:rPr>
              <w:t>-системы. Для учета изделий, персонала и испытаний важно явно описывать схемы запросов и ответов.</w:t>
            </w:r>
          </w:p>
        </w:tc>
        <w:tc>
          <w:tcPr>
            <w:tcW w:w="2493" w:type="dxa"/>
          </w:tcPr>
          <w:p w14:paraId="70E3F99E" w14:textId="77777777" w:rsidR="00D116E6" w:rsidRPr="00E760BB" w:rsidRDefault="00000000">
            <w:pPr>
              <w:rPr>
                <w:lang w:val="ru-RU"/>
              </w:rPr>
            </w:pPr>
            <w:r>
              <w:t>Django</w:t>
            </w:r>
            <w:r w:rsidRPr="00E760BB">
              <w:rPr>
                <w:lang w:val="ru-RU"/>
              </w:rPr>
              <w:t xml:space="preserve"> рассматривался как альтернатива, но для данной задачи он тяжелее: встроенная админка полезна, но архитектура </w:t>
            </w:r>
            <w:r>
              <w:t>REST</w:t>
            </w:r>
            <w:r w:rsidRPr="00E760BB">
              <w:rPr>
                <w:lang w:val="ru-RU"/>
              </w:rPr>
              <w:t xml:space="preserve"> </w:t>
            </w:r>
            <w:r>
              <w:t>API</w:t>
            </w:r>
            <w:r w:rsidRPr="00E760BB">
              <w:rPr>
                <w:lang w:val="ru-RU"/>
              </w:rPr>
              <w:t xml:space="preserve"> с отдельным фронтендом проще на </w:t>
            </w:r>
            <w:r>
              <w:t>FastAPI</w:t>
            </w:r>
            <w:r w:rsidRPr="00E760BB">
              <w:rPr>
                <w:lang w:val="ru-RU"/>
              </w:rPr>
              <w:t>.</w:t>
            </w:r>
          </w:p>
        </w:tc>
      </w:tr>
      <w:tr w:rsidR="00D116E6" w:rsidRPr="00E760BB" w14:paraId="62BFD45B" w14:textId="77777777">
        <w:tc>
          <w:tcPr>
            <w:tcW w:w="2493" w:type="dxa"/>
          </w:tcPr>
          <w:p w14:paraId="228DB8F8" w14:textId="77777777" w:rsidR="00D116E6" w:rsidRDefault="00000000">
            <w:r>
              <w:t>База данных</w:t>
            </w:r>
          </w:p>
        </w:tc>
        <w:tc>
          <w:tcPr>
            <w:tcW w:w="2493" w:type="dxa"/>
          </w:tcPr>
          <w:p w14:paraId="31FDCC0D" w14:textId="77777777" w:rsidR="00D116E6" w:rsidRDefault="00000000">
            <w:r>
              <w:t>PostgreSQL</w:t>
            </w:r>
          </w:p>
        </w:tc>
        <w:tc>
          <w:tcPr>
            <w:tcW w:w="2493" w:type="dxa"/>
          </w:tcPr>
          <w:p w14:paraId="7089CCE9" w14:textId="77777777" w:rsidR="00D116E6" w:rsidRPr="00E760BB" w:rsidRDefault="00000000">
            <w:pPr>
              <w:rPr>
                <w:lang w:val="ru-RU"/>
              </w:rPr>
            </w:pPr>
            <w:r w:rsidRPr="00E760BB">
              <w:rPr>
                <w:lang w:val="ru-RU"/>
              </w:rPr>
              <w:t>Данные реляционные: цеха, участки, сотрудники, бригады, изделия, маршруты и испытания связаны внешними ключами. Нужны транзакции, ограничения целостности, индексы и отчеты по периодам.</w:t>
            </w:r>
          </w:p>
        </w:tc>
        <w:tc>
          <w:tcPr>
            <w:tcW w:w="2493" w:type="dxa"/>
          </w:tcPr>
          <w:p w14:paraId="7186FDB4" w14:textId="77777777" w:rsidR="00D116E6" w:rsidRPr="00E760BB" w:rsidRDefault="00000000">
            <w:pPr>
              <w:rPr>
                <w:lang w:val="ru-RU"/>
              </w:rPr>
            </w:pPr>
            <w:r>
              <w:t>MongoDB</w:t>
            </w:r>
            <w:r w:rsidRPr="00E760BB">
              <w:rPr>
                <w:lang w:val="ru-RU"/>
              </w:rPr>
              <w:t xml:space="preserve"> не выбрана, потому что связи между сущностями важнее гибкости документов, а дублирование данных усложнило бы целостность.</w:t>
            </w:r>
          </w:p>
        </w:tc>
      </w:tr>
      <w:tr w:rsidR="00D116E6" w:rsidRPr="00E760BB" w14:paraId="19738ADF" w14:textId="77777777">
        <w:tc>
          <w:tcPr>
            <w:tcW w:w="2493" w:type="dxa"/>
          </w:tcPr>
          <w:p w14:paraId="74428B89" w14:textId="77777777" w:rsidR="00D116E6" w:rsidRDefault="00000000">
            <w:r>
              <w:t>Фронтенд</w:t>
            </w:r>
          </w:p>
        </w:tc>
        <w:tc>
          <w:tcPr>
            <w:tcW w:w="2493" w:type="dxa"/>
          </w:tcPr>
          <w:p w14:paraId="37EFF6DD" w14:textId="77777777" w:rsidR="00D116E6" w:rsidRDefault="00000000">
            <w:r>
              <w:t>React + TypeScript</w:t>
            </w:r>
          </w:p>
        </w:tc>
        <w:tc>
          <w:tcPr>
            <w:tcW w:w="2493" w:type="dxa"/>
          </w:tcPr>
          <w:p w14:paraId="0BDE4BF0" w14:textId="77777777" w:rsidR="00D116E6" w:rsidRPr="00E760BB" w:rsidRDefault="00000000">
            <w:pPr>
              <w:rPr>
                <w:lang w:val="ru-RU"/>
              </w:rPr>
            </w:pPr>
            <w:r w:rsidRPr="00E760BB">
              <w:rPr>
                <w:lang w:val="ru-RU"/>
              </w:rPr>
              <w:t xml:space="preserve">Интерфейс содержит много экранных форм, таблиц, фильтров и статусов. </w:t>
            </w:r>
            <w:r>
              <w:t>TypeScript</w:t>
            </w:r>
            <w:r w:rsidRPr="00E760BB">
              <w:rPr>
                <w:lang w:val="ru-RU"/>
              </w:rPr>
              <w:t xml:space="preserve"> снижает риск ошибок в структурах данных, а </w:t>
            </w:r>
            <w:r>
              <w:t>React</w:t>
            </w:r>
            <w:r w:rsidRPr="00E760BB">
              <w:rPr>
                <w:lang w:val="ru-RU"/>
              </w:rPr>
              <w:t xml:space="preserve"> удобен для сложных пользовательских форм.</w:t>
            </w:r>
          </w:p>
        </w:tc>
        <w:tc>
          <w:tcPr>
            <w:tcW w:w="2493" w:type="dxa"/>
          </w:tcPr>
          <w:p w14:paraId="6A13ECE2" w14:textId="77777777" w:rsidR="00D116E6" w:rsidRPr="00E760BB" w:rsidRDefault="00000000">
            <w:pPr>
              <w:rPr>
                <w:lang w:val="ru-RU"/>
              </w:rPr>
            </w:pPr>
            <w:r w:rsidRPr="00E760BB">
              <w:rPr>
                <w:lang w:val="ru-RU"/>
              </w:rPr>
              <w:t xml:space="preserve">Обычный </w:t>
            </w:r>
            <w:r>
              <w:t>HTML</w:t>
            </w:r>
            <w:r w:rsidRPr="00E760BB">
              <w:rPr>
                <w:lang w:val="ru-RU"/>
              </w:rPr>
              <w:t xml:space="preserve"> с шаблонами проще, но хуже подходит для интерактивных таблиц, фильтров и экранов мониторинга текущих изделий.</w:t>
            </w:r>
          </w:p>
        </w:tc>
      </w:tr>
      <w:tr w:rsidR="00D116E6" w:rsidRPr="00E760BB" w14:paraId="41267CAD" w14:textId="77777777">
        <w:tc>
          <w:tcPr>
            <w:tcW w:w="2493" w:type="dxa"/>
          </w:tcPr>
          <w:p w14:paraId="00A34EA7" w14:textId="77777777" w:rsidR="00D116E6" w:rsidRDefault="00000000">
            <w:r>
              <w:t>Reverse proxy</w:t>
            </w:r>
          </w:p>
        </w:tc>
        <w:tc>
          <w:tcPr>
            <w:tcW w:w="2493" w:type="dxa"/>
          </w:tcPr>
          <w:p w14:paraId="140D14A4" w14:textId="77777777" w:rsidR="00D116E6" w:rsidRDefault="00000000">
            <w:r>
              <w:t>Nginx</w:t>
            </w:r>
          </w:p>
        </w:tc>
        <w:tc>
          <w:tcPr>
            <w:tcW w:w="2493" w:type="dxa"/>
          </w:tcPr>
          <w:p w14:paraId="54DDA55B" w14:textId="77777777" w:rsidR="00D116E6" w:rsidRPr="00E760BB" w:rsidRDefault="00000000">
            <w:pPr>
              <w:rPr>
                <w:lang w:val="ru-RU"/>
              </w:rPr>
            </w:pPr>
            <w:r w:rsidRPr="00E760BB">
              <w:rPr>
                <w:lang w:val="ru-RU"/>
              </w:rPr>
              <w:t xml:space="preserve">Нужен для </w:t>
            </w:r>
            <w:r>
              <w:t>HTTPS</w:t>
            </w:r>
            <w:r w:rsidRPr="00E760BB">
              <w:rPr>
                <w:lang w:val="ru-RU"/>
              </w:rPr>
              <w:t xml:space="preserve">, раздачи фронтенда и проксирования </w:t>
            </w:r>
            <w:r>
              <w:t>API</w:t>
            </w:r>
            <w:r w:rsidRPr="00E760BB">
              <w:rPr>
                <w:lang w:val="ru-RU"/>
              </w:rPr>
              <w:t xml:space="preserve"> на </w:t>
            </w:r>
            <w:r>
              <w:t>backend</w:t>
            </w:r>
            <w:r w:rsidRPr="00E760BB">
              <w:rPr>
                <w:lang w:val="ru-RU"/>
              </w:rPr>
              <w:t>.</w:t>
            </w:r>
          </w:p>
        </w:tc>
        <w:tc>
          <w:tcPr>
            <w:tcW w:w="2493" w:type="dxa"/>
          </w:tcPr>
          <w:p w14:paraId="561D67DD" w14:textId="77777777" w:rsidR="00D116E6" w:rsidRPr="00E760BB" w:rsidRDefault="00000000">
            <w:pPr>
              <w:rPr>
                <w:lang w:val="ru-RU"/>
              </w:rPr>
            </w:pPr>
            <w:r w:rsidRPr="00E760BB">
              <w:rPr>
                <w:lang w:val="ru-RU"/>
              </w:rPr>
              <w:t xml:space="preserve">Можно было открыть </w:t>
            </w:r>
            <w:r>
              <w:t>backend</w:t>
            </w:r>
            <w:r w:rsidRPr="00E760BB">
              <w:rPr>
                <w:lang w:val="ru-RU"/>
              </w:rPr>
              <w:t xml:space="preserve"> напрямую, но тогда сложнее настраивать </w:t>
            </w:r>
            <w:r>
              <w:t>TLS</w:t>
            </w:r>
            <w:r w:rsidRPr="00E760BB">
              <w:rPr>
                <w:lang w:val="ru-RU"/>
              </w:rPr>
              <w:t xml:space="preserve"> и статические файлы.</w:t>
            </w:r>
          </w:p>
        </w:tc>
      </w:tr>
      <w:tr w:rsidR="00D116E6" w:rsidRPr="00E760BB" w14:paraId="2B352C82" w14:textId="77777777">
        <w:tc>
          <w:tcPr>
            <w:tcW w:w="2493" w:type="dxa"/>
          </w:tcPr>
          <w:p w14:paraId="7C89C831" w14:textId="77777777" w:rsidR="00D116E6" w:rsidRDefault="00000000">
            <w:r>
              <w:t>Файловое хранилище</w:t>
            </w:r>
          </w:p>
        </w:tc>
        <w:tc>
          <w:tcPr>
            <w:tcW w:w="2493" w:type="dxa"/>
          </w:tcPr>
          <w:p w14:paraId="4CD20DB7" w14:textId="77777777" w:rsidR="00D116E6" w:rsidRPr="00E760BB" w:rsidRDefault="00000000">
            <w:pPr>
              <w:rPr>
                <w:lang w:val="ru-RU"/>
              </w:rPr>
            </w:pPr>
            <w:r w:rsidRPr="00E760BB">
              <w:rPr>
                <w:lang w:val="ru-RU"/>
              </w:rPr>
              <w:t>Локальное файловое хранилище на сервере</w:t>
            </w:r>
          </w:p>
        </w:tc>
        <w:tc>
          <w:tcPr>
            <w:tcW w:w="2493" w:type="dxa"/>
          </w:tcPr>
          <w:p w14:paraId="31650085" w14:textId="77777777" w:rsidR="00D116E6" w:rsidRDefault="00000000">
            <w:r w:rsidRPr="00E760BB">
              <w:rPr>
                <w:lang w:val="ru-RU"/>
              </w:rPr>
              <w:t xml:space="preserve">На начальном этапе объем файлов небольшой: протоколы испытаний и экспорт отчетов. </w:t>
            </w:r>
            <w:r>
              <w:t>Хранение на сервере проще и дешевле.</w:t>
            </w:r>
          </w:p>
        </w:tc>
        <w:tc>
          <w:tcPr>
            <w:tcW w:w="2493" w:type="dxa"/>
          </w:tcPr>
          <w:p w14:paraId="0AD1BC65" w14:textId="77777777" w:rsidR="00D116E6" w:rsidRPr="00E760BB" w:rsidRDefault="00000000">
            <w:pPr>
              <w:rPr>
                <w:lang w:val="ru-RU"/>
              </w:rPr>
            </w:pPr>
            <w:r>
              <w:t>S</w:t>
            </w:r>
            <w:r w:rsidRPr="00E760BB">
              <w:rPr>
                <w:lang w:val="ru-RU"/>
              </w:rPr>
              <w:t>3/</w:t>
            </w:r>
            <w:r>
              <w:t>MinIO</w:t>
            </w:r>
            <w:r w:rsidRPr="00E760BB">
              <w:rPr>
                <w:lang w:val="ru-RU"/>
              </w:rPr>
              <w:t xml:space="preserve"> можно добавить позже, если файлов станет много или потребуется отказоустойчивое распределенное хранение.</w:t>
            </w:r>
          </w:p>
        </w:tc>
      </w:tr>
    </w:tbl>
    <w:p w14:paraId="31F94B72" w14:textId="77777777" w:rsidR="00D116E6" w:rsidRDefault="00000000">
      <w:pPr>
        <w:pStyle w:val="1"/>
      </w:pPr>
      <w:r>
        <w:rPr>
          <w:rFonts w:ascii="Times New Roman" w:hAnsi="Times New Roman"/>
        </w:rPr>
        <w:lastRenderedPageBreak/>
        <w:t>Раздел 5 - Архитектура кода</w:t>
      </w:r>
    </w:p>
    <w:p w14:paraId="43D0348C" w14:textId="77777777" w:rsidR="00D116E6" w:rsidRDefault="00000000">
      <w:pPr>
        <w:jc w:val="center"/>
      </w:pPr>
      <w:r>
        <w:rPr>
          <w:noProof/>
        </w:rPr>
        <w:drawing>
          <wp:inline distT="0" distB="0" distL="0" distR="0" wp14:anchorId="20A0D9C1" wp14:editId="4E673CFC">
            <wp:extent cx="6377240" cy="2894665"/>
            <wp:effectExtent l="0" t="0" r="508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b8_backend_layer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28642" cy="2917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CBA6C" w14:textId="77777777" w:rsidR="00D116E6" w:rsidRPr="00E760BB" w:rsidRDefault="00000000">
      <w:pPr>
        <w:rPr>
          <w:lang w:val="ru-RU"/>
        </w:rPr>
      </w:pPr>
      <w:r>
        <w:t>Backend</w:t>
      </w:r>
      <w:r w:rsidRPr="00E760BB">
        <w:rPr>
          <w:lang w:val="ru-RU"/>
        </w:rPr>
        <w:t xml:space="preserve"> организуется по слоистой архитектуре. </w:t>
      </w:r>
      <w:r>
        <w:t>Controller</w:t>
      </w:r>
      <w:r w:rsidRPr="00E760BB">
        <w:rPr>
          <w:lang w:val="ru-RU"/>
        </w:rPr>
        <w:t xml:space="preserve"> </w:t>
      </w:r>
      <w:r>
        <w:t>layer</w:t>
      </w:r>
      <w:r w:rsidRPr="00E760BB">
        <w:rPr>
          <w:lang w:val="ru-RU"/>
        </w:rPr>
        <w:t xml:space="preserve"> принимает </w:t>
      </w:r>
      <w:r>
        <w:t>HTTP</w:t>
      </w:r>
      <w:r w:rsidRPr="00E760BB">
        <w:rPr>
          <w:lang w:val="ru-RU"/>
        </w:rPr>
        <w:t xml:space="preserve">-запросы, валидирует параметры и вызывает сервисы. </w:t>
      </w:r>
      <w:r>
        <w:t>Service</w:t>
      </w:r>
      <w:r w:rsidRPr="00E760BB">
        <w:rPr>
          <w:lang w:val="ru-RU"/>
        </w:rPr>
        <w:t xml:space="preserve"> </w:t>
      </w:r>
      <w:r>
        <w:t>layer</w:t>
      </w:r>
      <w:r w:rsidRPr="00E760BB">
        <w:rPr>
          <w:lang w:val="ru-RU"/>
        </w:rPr>
        <w:t xml:space="preserve"> содержит бизнес-логику: создание производственного задания, построение маршрута изделия, назначение бригады, фиксация операций, регистрация испытаний и формирование отчетов. </w:t>
      </w:r>
      <w:r>
        <w:t>Repository</w:t>
      </w:r>
      <w:r w:rsidRPr="00E760BB">
        <w:rPr>
          <w:lang w:val="ru-RU"/>
        </w:rPr>
        <w:t xml:space="preserve"> </w:t>
      </w:r>
      <w:r>
        <w:t>layer</w:t>
      </w:r>
      <w:r w:rsidRPr="00E760BB">
        <w:rPr>
          <w:lang w:val="ru-RU"/>
        </w:rPr>
        <w:t xml:space="preserve"> отвечает за запросы к </w:t>
      </w:r>
      <w:r>
        <w:t>PostgreSQL</w:t>
      </w:r>
      <w:r w:rsidRPr="00E760BB">
        <w:rPr>
          <w:lang w:val="ru-RU"/>
        </w:rPr>
        <w:t xml:space="preserve"> и скрывает детали работы с таблицами от бизнес-логики.</w:t>
      </w:r>
    </w:p>
    <w:p w14:paraId="3D0899BA" w14:textId="77777777" w:rsidR="00D116E6" w:rsidRPr="00E760BB" w:rsidRDefault="00000000">
      <w:pPr>
        <w:rPr>
          <w:lang w:val="ru-RU"/>
        </w:rPr>
      </w:pPr>
      <w:r w:rsidRPr="00E760BB">
        <w:rPr>
          <w:lang w:val="ru-RU"/>
        </w:rPr>
        <w:t xml:space="preserve">Основные модули </w:t>
      </w:r>
      <w:r>
        <w:t>backend</w:t>
      </w:r>
      <w:r w:rsidRPr="00E760BB">
        <w:rPr>
          <w:lang w:val="ru-RU"/>
        </w:rPr>
        <w:t xml:space="preserve">: </w:t>
      </w:r>
      <w:r>
        <w:t>auth</w:t>
      </w:r>
      <w:r w:rsidRPr="00E760BB">
        <w:rPr>
          <w:lang w:val="ru-RU"/>
        </w:rPr>
        <w:t xml:space="preserve"> - пользователи и роли; </w:t>
      </w:r>
      <w:r>
        <w:t>employees</w:t>
      </w:r>
      <w:r w:rsidRPr="00E760BB">
        <w:rPr>
          <w:lang w:val="ru-RU"/>
        </w:rPr>
        <w:t xml:space="preserve"> - сотрудники и движение кадров; </w:t>
      </w:r>
      <w:r>
        <w:t>products</w:t>
      </w:r>
      <w:r w:rsidRPr="00E760BB">
        <w:rPr>
          <w:lang w:val="ru-RU"/>
        </w:rPr>
        <w:t xml:space="preserve"> - категории, виды и экземпляры изделий; </w:t>
      </w:r>
      <w:r>
        <w:t>workshops</w:t>
      </w:r>
      <w:r w:rsidRPr="00E760BB">
        <w:rPr>
          <w:lang w:val="ru-RU"/>
        </w:rPr>
        <w:t xml:space="preserve"> - цеха и участки; </w:t>
      </w:r>
      <w:r>
        <w:t>brigades</w:t>
      </w:r>
      <w:r w:rsidRPr="00E760BB">
        <w:rPr>
          <w:lang w:val="ru-RU"/>
        </w:rPr>
        <w:t xml:space="preserve"> - бригады и состав; </w:t>
      </w:r>
      <w:r>
        <w:t>routes</w:t>
      </w:r>
      <w:r w:rsidRPr="00E760BB">
        <w:rPr>
          <w:lang w:val="ru-RU"/>
        </w:rPr>
        <w:t xml:space="preserve"> - маршрутные операции; </w:t>
      </w:r>
      <w:r>
        <w:t>tests</w:t>
      </w:r>
      <w:r w:rsidRPr="00E760BB">
        <w:rPr>
          <w:lang w:val="ru-RU"/>
        </w:rPr>
        <w:t xml:space="preserve"> - лаборатории, оборудование и испытания; </w:t>
      </w:r>
      <w:r>
        <w:t>reports</w:t>
      </w:r>
      <w:r w:rsidRPr="00E760BB">
        <w:rPr>
          <w:lang w:val="ru-RU"/>
        </w:rPr>
        <w:t xml:space="preserve"> - отчетные запросы по вариантам из задания.</w:t>
      </w:r>
    </w:p>
    <w:p w14:paraId="0DFE3BE8" w14:textId="77777777" w:rsidR="00D116E6" w:rsidRPr="00E760BB" w:rsidRDefault="00000000">
      <w:pPr>
        <w:rPr>
          <w:lang w:val="ru-RU"/>
        </w:rPr>
      </w:pPr>
      <w:r w:rsidRPr="00E760BB">
        <w:rPr>
          <w:lang w:val="ru-RU"/>
        </w:rPr>
        <w:t xml:space="preserve">Связь слоев направлена сверху вниз: контроллеры не обращаются к базе напрямую, сервисы не зависят от </w:t>
      </w:r>
      <w:r>
        <w:t>HTTP</w:t>
      </w:r>
      <w:r w:rsidRPr="00E760BB">
        <w:rPr>
          <w:lang w:val="ru-RU"/>
        </w:rPr>
        <w:t>, репозитории не содержат бизнес-решений. Такая структура упрощает тестирование и развитие системы.</w:t>
      </w:r>
    </w:p>
    <w:p w14:paraId="6D4CE3C2" w14:textId="77777777" w:rsidR="00D116E6" w:rsidRPr="00E760BB" w:rsidRDefault="00000000">
      <w:pPr>
        <w:pStyle w:val="1"/>
        <w:rPr>
          <w:lang w:val="ru-RU"/>
        </w:rPr>
      </w:pPr>
      <w:r w:rsidRPr="00E760BB">
        <w:rPr>
          <w:rFonts w:ascii="Times New Roman" w:hAnsi="Times New Roman"/>
          <w:lang w:val="ru-RU"/>
        </w:rPr>
        <w:t>Вывод</w:t>
      </w:r>
    </w:p>
    <w:p w14:paraId="39CA7752" w14:textId="77777777" w:rsidR="00D116E6" w:rsidRPr="00E760BB" w:rsidRDefault="00000000">
      <w:pPr>
        <w:rPr>
          <w:lang w:val="ru-RU"/>
        </w:rPr>
      </w:pPr>
      <w:r w:rsidRPr="00E760BB">
        <w:rPr>
          <w:lang w:val="ru-RU"/>
        </w:rPr>
        <w:t xml:space="preserve">Для информационной системы авиастроительного предприятия выбрана клиент-серверная архитектура с веб-клиентом, </w:t>
      </w:r>
      <w:r>
        <w:t>backend</w:t>
      </w:r>
      <w:r w:rsidRPr="00E760BB">
        <w:rPr>
          <w:lang w:val="ru-RU"/>
        </w:rPr>
        <w:t xml:space="preserve"> </w:t>
      </w:r>
      <w:r>
        <w:t>API</w:t>
      </w:r>
      <w:r w:rsidRPr="00E760BB">
        <w:rPr>
          <w:lang w:val="ru-RU"/>
        </w:rPr>
        <w:t xml:space="preserve"> и </w:t>
      </w:r>
      <w:r>
        <w:t>PostgreSQL</w:t>
      </w:r>
      <w:r w:rsidRPr="00E760BB">
        <w:rPr>
          <w:lang w:val="ru-RU"/>
        </w:rPr>
        <w:t xml:space="preserve">. Расчет нагрузки показывает, что на текущем этапе достаточно одного сервера. Выбранный стек и слоистая организация </w:t>
      </w:r>
      <w:r>
        <w:t>backend</w:t>
      </w:r>
      <w:r w:rsidRPr="00E760BB">
        <w:rPr>
          <w:lang w:val="ru-RU"/>
        </w:rPr>
        <w:t>-кода соответствуют предметной области, логической модели БД и требованиям предыдущих лабораторных работ.</w:t>
      </w:r>
    </w:p>
    <w:sectPr w:rsidR="00D116E6" w:rsidRPr="00E760BB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2394839">
    <w:abstractNumId w:val="8"/>
  </w:num>
  <w:num w:numId="2" w16cid:durableId="1769154824">
    <w:abstractNumId w:val="6"/>
  </w:num>
  <w:num w:numId="3" w16cid:durableId="1297947813">
    <w:abstractNumId w:val="5"/>
  </w:num>
  <w:num w:numId="4" w16cid:durableId="430660294">
    <w:abstractNumId w:val="4"/>
  </w:num>
  <w:num w:numId="5" w16cid:durableId="415132655">
    <w:abstractNumId w:val="7"/>
  </w:num>
  <w:num w:numId="6" w16cid:durableId="658777787">
    <w:abstractNumId w:val="3"/>
  </w:num>
  <w:num w:numId="7" w16cid:durableId="1530869471">
    <w:abstractNumId w:val="2"/>
  </w:num>
  <w:num w:numId="8" w16cid:durableId="1926374258">
    <w:abstractNumId w:val="1"/>
  </w:num>
  <w:num w:numId="9" w16cid:durableId="9485117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116E6"/>
    <w:rsid w:val="00E760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F4B983B"/>
  <w14:defaultImageDpi w14:val="300"/>
  <w15:docId w15:val="{20FAD73D-C2FE-43BD-8542-EAB911A30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Cs/>
      <w:sz w:val="28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sz w:val="28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sz w:val="28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Cs/>
      <w:sz w:val="28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 w:val="28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Cs/>
      <w:sz w:val="28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Times New Roman" w:hAnsi="Times New Roman"/>
      <w:i w:val="0"/>
      <w:color w:val="000000"/>
      <w:sz w:val="24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Times New Roman" w:hAnsi="Times New Roman"/>
      <w:i w:val="0"/>
      <w:color w:val="000000"/>
      <w:sz w:val="24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/>
      <w:color w:val="000000"/>
      <w:sz w:val="24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i w:val="0"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i w:val="0"/>
      <w:color w:val="000000"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i w:val="0"/>
      <w:color w:val="000000"/>
      <w:sz w:val="28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000000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i w:val="0"/>
      <w:color w:val="000000"/>
      <w:spacing w:val="5"/>
      <w:kern w:val="28"/>
      <w:sz w:val="24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Cs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 w:val="0"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Times New Roman" w:hAnsi="Times New Roman"/>
      <w:i w:val="0"/>
      <w:color w:val="000000"/>
      <w:sz w:val="24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Times New Roman" w:hAnsi="Times New Roman"/>
      <w:i w:val="0"/>
      <w:color w:val="000000"/>
      <w:sz w:val="24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Times New Roman" w:hAnsi="Times New Roman"/>
      <w:i w:val="0"/>
      <w:color w:val="000000"/>
      <w:sz w:val="24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color w:val="000000"/>
      <w:sz w:val="24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hAnsi="Times New Roman"/>
      <w:i w:val="0"/>
      <w:color w:val="000000"/>
      <w:sz w:val="24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Cs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Times New Roman" w:hAnsi="Times New Roman"/>
      <w:i w:val="0"/>
      <w:iCs/>
      <w:color w:val="000000"/>
      <w:sz w:val="24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i w:val="0"/>
      <w:iCs/>
      <w:color w:val="000000"/>
      <w:sz w:val="28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i w:val="0"/>
      <w:color w:val="000000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 w:val="0"/>
      <w:iCs/>
      <w:color w:val="000000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 w:val="0"/>
      <w:iCs/>
      <w:color w:val="000000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i w:val="0"/>
      <w:color w:val="000000"/>
      <w:sz w:val="28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 w:val="0"/>
      <w:iCs/>
      <w:color w:val="000000"/>
      <w:sz w:val="28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szCs w:val="18"/>
    </w:rPr>
  </w:style>
  <w:style w:type="character" w:styleId="af6">
    <w:name w:val="Strong"/>
    <w:basedOn w:val="a2"/>
    <w:uiPriority w:val="22"/>
    <w:qFormat/>
    <w:rsid w:val="00FC693F"/>
    <w:rPr>
      <w:rFonts w:ascii="Times New Roman" w:hAnsi="Times New Roman"/>
      <w:i w:val="0"/>
      <w:color w:val="000000"/>
      <w:sz w:val="24"/>
    </w:rPr>
  </w:style>
  <w:style w:type="character" w:styleId="af7">
    <w:name w:val="Emphasis"/>
    <w:basedOn w:val="a2"/>
    <w:uiPriority w:val="20"/>
    <w:qFormat/>
    <w:rsid w:val="00FC693F"/>
    <w:rPr>
      <w:rFonts w:ascii="Times New Roman" w:hAnsi="Times New Roman"/>
      <w:i w:val="0"/>
      <w:iCs/>
      <w:color w:val="000000"/>
      <w:sz w:val="24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000000"/>
      </w:pBdr>
      <w:spacing w:before="200" w:after="280"/>
      <w:ind w:left="936" w:right="936"/>
    </w:pPr>
    <w:rPr>
      <w:iCs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Times New Roman" w:hAnsi="Times New Roman"/>
      <w:i w:val="0"/>
      <w:iCs/>
      <w:color w:val="000000"/>
      <w:sz w:val="24"/>
    </w:rPr>
  </w:style>
  <w:style w:type="character" w:styleId="afa">
    <w:name w:val="Subtle Emphasis"/>
    <w:basedOn w:val="a2"/>
    <w:uiPriority w:val="19"/>
    <w:qFormat/>
    <w:rsid w:val="00FC693F"/>
    <w:rPr>
      <w:rFonts w:ascii="Times New Roman" w:hAnsi="Times New Roman"/>
      <w:i w:val="0"/>
      <w:iCs/>
      <w:color w:val="000000"/>
      <w:sz w:val="24"/>
    </w:rPr>
  </w:style>
  <w:style w:type="character" w:styleId="afb">
    <w:name w:val="Intense Emphasis"/>
    <w:basedOn w:val="a2"/>
    <w:uiPriority w:val="21"/>
    <w:qFormat/>
    <w:rsid w:val="00FC693F"/>
    <w:rPr>
      <w:rFonts w:ascii="Times New Roman" w:hAnsi="Times New Roman"/>
      <w:i w:val="0"/>
      <w:iCs/>
      <w:color w:val="000000"/>
      <w:sz w:val="24"/>
    </w:rPr>
  </w:style>
  <w:style w:type="character" w:styleId="afc">
    <w:name w:val="Subtle Reference"/>
    <w:basedOn w:val="a2"/>
    <w:uiPriority w:val="31"/>
    <w:qFormat/>
    <w:rsid w:val="00FC693F"/>
    <w:rPr>
      <w:rFonts w:ascii="Times New Roman" w:hAnsi="Times New Roman"/>
      <w:i w:val="0"/>
      <w:smallCaps/>
      <w:color w:val="000000"/>
      <w:sz w:val="24"/>
      <w:u w:val="single"/>
    </w:rPr>
  </w:style>
  <w:style w:type="character" w:styleId="afd">
    <w:name w:val="Intense Reference"/>
    <w:basedOn w:val="a2"/>
    <w:uiPriority w:val="32"/>
    <w:qFormat/>
    <w:rsid w:val="00FC693F"/>
    <w:rPr>
      <w:rFonts w:ascii="Times New Roman" w:hAnsi="Times New Roman"/>
      <w:i w:val="0"/>
      <w:smallCaps/>
      <w:color w:val="000000"/>
      <w:spacing w:val="5"/>
      <w:sz w:val="24"/>
      <w:u w:val="single"/>
    </w:rPr>
  </w:style>
  <w:style w:type="character" w:styleId="afe">
    <w:name w:val="Book Title"/>
    <w:basedOn w:val="a2"/>
    <w:uiPriority w:val="33"/>
    <w:qFormat/>
    <w:rsid w:val="00FC693F"/>
    <w:rPr>
      <w:rFonts w:ascii="Times New Roman" w:hAnsi="Times New Roman"/>
      <w:i w:val="0"/>
      <w:smallCaps/>
      <w:color w:val="000000"/>
      <w:spacing w:val="5"/>
      <w:sz w:val="24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Times New Roman" w:hAnsi="Times New Roman"/>
      <w:sz w:val="24"/>
    </w:r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rFonts w:ascii="Times New Roman" w:hAnsi="Times New Roman"/>
      <w:color w:val="000000"/>
      <w:sz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color w:val="000000"/>
      </w:rPr>
      <w:tblPr/>
      <w:tcPr>
        <w:shd w:val="clear" w:color="000000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color w:val="000000"/>
      </w:rPr>
      <w:tblPr/>
      <w:tcPr>
        <w:shd w:val="clear" w:color="000000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color w:val="000000"/>
      </w:rPr>
      <w:tblPr/>
      <w:tcPr>
        <w:shd w:val="clear" w:color="000000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color w:val="000000"/>
      </w:rPr>
      <w:tblPr/>
      <w:tcPr>
        <w:shd w:val="clear" w:color="000000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color w:val="000000"/>
      </w:rPr>
      <w:tblPr/>
      <w:tcPr>
        <w:shd w:val="clear" w:color="000000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color w:val="000000"/>
      </w:rPr>
      <w:tblPr/>
      <w:tcPr>
        <w:shd w:val="clear" w:color="000000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color w:val="000000"/>
      </w:rPr>
      <w:tblPr/>
      <w:tcPr>
        <w:shd w:val="clear" w:color="000000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</w:rPr>
    </w:tblStylePr>
    <w:tblStylePr w:type="lastCol">
      <w:rPr>
        <w:rFonts w:asciiTheme="majorHAnsi" w:eastAsiaTheme="majorEastAsia" w:hAnsiTheme="majorHAnsi" w:cstheme="majorBidi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</w:rPr>
    </w:tblStylePr>
    <w:tblStylePr w:type="lastCol">
      <w:rPr>
        <w:rFonts w:asciiTheme="majorHAnsi" w:eastAsiaTheme="majorEastAsia" w:hAnsiTheme="majorHAnsi" w:cstheme="majorBidi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D3DFEE" w:themeFill="accen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D3DFEE" w:themeFill="accen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</w:rPr>
    </w:tblStylePr>
    <w:tblStylePr w:type="lastCol">
      <w:rPr>
        <w:rFonts w:asciiTheme="majorHAnsi" w:eastAsiaTheme="majorEastAsia" w:hAnsiTheme="majorHAnsi" w:cstheme="majorBidi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EFD3D2" w:themeFill="accent2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EFD3D2" w:themeFill="accent2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</w:rPr>
    </w:tblStylePr>
    <w:tblStylePr w:type="lastCol">
      <w:rPr>
        <w:rFonts w:asciiTheme="majorHAnsi" w:eastAsiaTheme="majorEastAsia" w:hAnsiTheme="majorHAnsi" w:cstheme="majorBidi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E6EED5" w:themeFill="accent3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E6EED5" w:themeFill="accent3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</w:rPr>
    </w:tblStylePr>
    <w:tblStylePr w:type="lastCol">
      <w:rPr>
        <w:rFonts w:asciiTheme="majorHAnsi" w:eastAsiaTheme="majorEastAsia" w:hAnsiTheme="majorHAnsi" w:cstheme="majorBidi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DFD8E8" w:themeFill="accent4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DFD8E8" w:themeFill="accent4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</w:rPr>
    </w:tblStylePr>
    <w:tblStylePr w:type="lastCol">
      <w:rPr>
        <w:rFonts w:asciiTheme="majorHAnsi" w:eastAsiaTheme="majorEastAsia" w:hAnsiTheme="majorHAnsi" w:cstheme="majorBidi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D2EAF1" w:themeFill="accent5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D2EAF1" w:themeFill="accent5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Theme="majorHAnsi" w:eastAsiaTheme="majorEastAsia" w:hAnsiTheme="majorHAnsi" w:cstheme="majorBidi"/>
      </w:rPr>
    </w:tblStylePr>
    <w:tblStylePr w:type="lastCol">
      <w:rPr>
        <w:rFonts w:asciiTheme="majorHAnsi" w:eastAsiaTheme="majorEastAsia" w:hAnsiTheme="majorHAnsi" w:cstheme="majorBidi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FDE4D0" w:themeFill="accent6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FDE4D0" w:themeFill="accent6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band1Vert">
      <w:tblPr/>
      <w:tcPr>
        <w:shd w:val="clear" w:color="000000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band1Vert">
      <w:tblPr/>
      <w:tcPr>
        <w:shd w:val="clear" w:color="000000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band1Vert">
      <w:tblPr/>
      <w:tcPr>
        <w:shd w:val="clear" w:color="000000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band1Vert">
      <w:tblPr/>
      <w:tcPr>
        <w:shd w:val="clear" w:color="000000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band1Vert">
      <w:tblPr/>
      <w:tcPr>
        <w:shd w:val="clear" w:color="000000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band1Vert">
      <w:tblPr/>
      <w:tcPr>
        <w:shd w:val="clear" w:color="000000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</w:tblPr>
    <w:tblStylePr w:type="firstRow">
      <w:pPr>
        <w:spacing w:before="0" w:after="0" w:line="240" w:lineRule="auto"/>
      </w:pPr>
      <w:rPr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band1Vert">
      <w:tblPr/>
      <w:tcPr>
        <w:shd w:val="clear" w:color="000000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Col">
      <w:rPr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4F81BD" w:themeFill="accent1"/>
      </w:tcPr>
    </w:tblStylePr>
    <w:tblStylePr w:type="lastCol">
      <w:rPr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C0504D" w:themeFill="accent2"/>
      </w:tcPr>
    </w:tblStylePr>
    <w:tblStylePr w:type="lastCol">
      <w:rPr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9BBB59" w:themeFill="accent3"/>
      </w:tcPr>
    </w:tblStylePr>
    <w:tblStylePr w:type="lastCol">
      <w:rPr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8064A2" w:themeFill="accent4"/>
      </w:tcPr>
    </w:tblStylePr>
    <w:tblStylePr w:type="lastCol">
      <w:rPr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4BACC6" w:themeFill="accent5"/>
      </w:tcPr>
    </w:tblStylePr>
    <w:tblStylePr w:type="lastCol">
      <w:rPr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79646" w:themeFill="accent6"/>
      </w:tcPr>
    </w:tblStylePr>
    <w:tblStylePr w:type="lastCol">
      <w:rPr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lastCol"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C0C0C0" w:themeFill="text1" w:themeFillTint="3F"/>
      </w:tcPr>
    </w:tblStylePr>
    <w:tblStylePr w:type="band1Horz">
      <w:tblPr/>
      <w:tcPr>
        <w:shd w:val="clear" w:color="000000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lastCol"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D3DFEE" w:themeFill="accent1" w:themeFillTint="3F"/>
      </w:tcPr>
    </w:tblStylePr>
    <w:tblStylePr w:type="band1Horz">
      <w:tblPr/>
      <w:tcPr>
        <w:shd w:val="clear" w:color="000000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lastCol"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EFD3D2" w:themeFill="accent2" w:themeFillTint="3F"/>
      </w:tcPr>
    </w:tblStylePr>
    <w:tblStylePr w:type="band1Horz">
      <w:tblPr/>
      <w:tcPr>
        <w:shd w:val="clear" w:color="000000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lastCol"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E6EED5" w:themeFill="accent3" w:themeFillTint="3F"/>
      </w:tcPr>
    </w:tblStylePr>
    <w:tblStylePr w:type="band1Horz">
      <w:tblPr/>
      <w:tcPr>
        <w:shd w:val="clear" w:color="000000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lastCol"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DFD8E8" w:themeFill="accent4" w:themeFillTint="3F"/>
      </w:tcPr>
    </w:tblStylePr>
    <w:tblStylePr w:type="band1Horz">
      <w:tblPr/>
      <w:tcPr>
        <w:shd w:val="clear" w:color="000000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lastCol"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D2EAF1" w:themeFill="accent5" w:themeFillTint="3F"/>
      </w:tcPr>
    </w:tblStylePr>
    <w:tblStylePr w:type="band1Horz">
      <w:tblPr/>
      <w:tcPr>
        <w:shd w:val="clear" w:color="000000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lastCol"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FDE4D0" w:themeFill="accent6" w:themeFillTint="3F"/>
      </w:tcPr>
    </w:tblStylePr>
    <w:tblStylePr w:type="band1Horz">
      <w:tblPr/>
      <w:tcPr>
        <w:shd w:val="clear" w:color="000000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C0C0C0" w:themeFill="text1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D3DFEE" w:themeFill="accent1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EFD3D2" w:themeFill="accent2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E6EED5" w:themeFill="accent3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DFD8E8" w:themeFill="accent4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D2EAF1" w:themeFill="accent5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FDE4D0" w:themeFill="accent6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C0C0C0" w:themeFill="text1" w:themeFillTint="3F"/>
    </w:tcPr>
    <w:tblStylePr w:type="lastRow">
      <w:tblPr/>
      <w:tcPr>
        <w:tcBorders>
          <w:top w:val="single" w:sz="18" w:space="0" w:color="000000"/>
        </w:tcBorders>
      </w:tcPr>
    </w:tblStylePr>
    <w:tblStylePr w:type="band1Vert">
      <w:tblPr/>
      <w:tcPr>
        <w:shd w:val="clear" w:color="000000" w:fill="808080" w:themeFill="text1" w:themeFillTint="7F"/>
      </w:tcPr>
    </w:tblStylePr>
    <w:tblStylePr w:type="band1Horz">
      <w:tblPr/>
      <w:tcPr>
        <w:shd w:val="clear" w:color="000000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D3DFEE" w:themeFill="accent1" w:themeFillTint="3F"/>
    </w:tcPr>
    <w:tblStylePr w:type="lastRow">
      <w:tblPr/>
      <w:tcPr>
        <w:tcBorders>
          <w:top w:val="single" w:sz="18" w:space="0" w:color="000000"/>
        </w:tcBorders>
      </w:tcPr>
    </w:tblStylePr>
    <w:tblStylePr w:type="band1Vert">
      <w:tblPr/>
      <w:tcPr>
        <w:shd w:val="clear" w:color="000000" w:fill="A7BFDE" w:themeFill="accent1" w:themeFillTint="7F"/>
      </w:tcPr>
    </w:tblStylePr>
    <w:tblStylePr w:type="band1Horz">
      <w:tblPr/>
      <w:tcPr>
        <w:shd w:val="clear" w:color="000000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EFD3D2" w:themeFill="accent2" w:themeFillTint="3F"/>
    </w:tcPr>
    <w:tblStylePr w:type="lastRow">
      <w:tblPr/>
      <w:tcPr>
        <w:tcBorders>
          <w:top w:val="single" w:sz="18" w:space="0" w:color="000000"/>
        </w:tcBorders>
      </w:tcPr>
    </w:tblStylePr>
    <w:tblStylePr w:type="band1Vert">
      <w:tblPr/>
      <w:tcPr>
        <w:shd w:val="clear" w:color="000000" w:fill="DFA7A6" w:themeFill="accent2" w:themeFillTint="7F"/>
      </w:tcPr>
    </w:tblStylePr>
    <w:tblStylePr w:type="band1Horz">
      <w:tblPr/>
      <w:tcPr>
        <w:shd w:val="clear" w:color="000000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E6EED5" w:themeFill="accent3" w:themeFillTint="3F"/>
    </w:tcPr>
    <w:tblStylePr w:type="lastRow">
      <w:tblPr/>
      <w:tcPr>
        <w:tcBorders>
          <w:top w:val="single" w:sz="18" w:space="0" w:color="000000"/>
        </w:tcBorders>
      </w:tcPr>
    </w:tblStylePr>
    <w:tblStylePr w:type="band1Vert">
      <w:tblPr/>
      <w:tcPr>
        <w:shd w:val="clear" w:color="000000" w:fill="CDDDAC" w:themeFill="accent3" w:themeFillTint="7F"/>
      </w:tcPr>
    </w:tblStylePr>
    <w:tblStylePr w:type="band1Horz">
      <w:tblPr/>
      <w:tcPr>
        <w:shd w:val="clear" w:color="000000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DFD8E8" w:themeFill="accent4" w:themeFillTint="3F"/>
    </w:tcPr>
    <w:tblStylePr w:type="lastRow">
      <w:tblPr/>
      <w:tcPr>
        <w:tcBorders>
          <w:top w:val="single" w:sz="18" w:space="0" w:color="000000"/>
        </w:tcBorders>
      </w:tcPr>
    </w:tblStylePr>
    <w:tblStylePr w:type="band1Vert">
      <w:tblPr/>
      <w:tcPr>
        <w:shd w:val="clear" w:color="000000" w:fill="BFB1D0" w:themeFill="accent4" w:themeFillTint="7F"/>
      </w:tcPr>
    </w:tblStylePr>
    <w:tblStylePr w:type="band1Horz">
      <w:tblPr/>
      <w:tcPr>
        <w:shd w:val="clear" w:color="000000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D2EAF1" w:themeFill="accent5" w:themeFillTint="3F"/>
    </w:tcPr>
    <w:tblStylePr w:type="lastRow">
      <w:tblPr/>
      <w:tcPr>
        <w:tcBorders>
          <w:top w:val="single" w:sz="18" w:space="0" w:color="000000"/>
        </w:tcBorders>
      </w:tcPr>
    </w:tblStylePr>
    <w:tblStylePr w:type="band1Vert">
      <w:tblPr/>
      <w:tcPr>
        <w:shd w:val="clear" w:color="000000" w:fill="A5D5E2" w:themeFill="accent5" w:themeFillTint="7F"/>
      </w:tcPr>
    </w:tblStylePr>
    <w:tblStylePr w:type="band1Horz">
      <w:tblPr/>
      <w:tcPr>
        <w:shd w:val="clear" w:color="000000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DE4D0" w:themeFill="accent6" w:themeFillTint="3F"/>
    </w:tcPr>
    <w:tblStylePr w:type="lastRow">
      <w:tblPr/>
      <w:tcPr>
        <w:tcBorders>
          <w:top w:val="single" w:sz="18" w:space="0" w:color="000000"/>
        </w:tcBorders>
      </w:tcPr>
    </w:tblStylePr>
    <w:tblStylePr w:type="band1Vert">
      <w:tblPr/>
      <w:tcPr>
        <w:shd w:val="clear" w:color="000000" w:fill="FBCAA2" w:themeFill="accent6" w:themeFillTint="7F"/>
      </w:tcPr>
    </w:tblStylePr>
    <w:tblStylePr w:type="band1Horz">
      <w:tblPr/>
      <w:tcPr>
        <w:shd w:val="clear" w:color="000000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C0C0C0" w:themeFill="text1" w:themeFillTint="3F"/>
    </w:tcPr>
    <w:tblStylePr w:type="firstRow">
      <w:rPr>
        <w:color w:val="000000"/>
      </w:rPr>
      <w:tblPr/>
      <w:tcPr>
        <w:shd w:val="clear" w:color="000000" w:fill="E6E6E6" w:themeFill="text1" w:themeFillTint="19"/>
      </w:tcPr>
    </w:tblStylePr>
    <w:tblStylePr w:type="lastRow">
      <w:rPr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CCCCCC" w:themeFill="text1" w:themeFillTint="33"/>
      </w:tcPr>
    </w:tblStylePr>
    <w:tblStylePr w:type="band1Vert">
      <w:tblPr/>
      <w:tcPr>
        <w:shd w:val="clear" w:color="000000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808080" w:themeFill="text1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D3DFEE" w:themeFill="accent1" w:themeFillTint="3F"/>
    </w:tcPr>
    <w:tblStylePr w:type="firstRow">
      <w:rPr>
        <w:color w:val="000000"/>
      </w:rPr>
      <w:tblPr/>
      <w:tcPr>
        <w:shd w:val="clear" w:color="000000" w:fill="EDF2F8" w:themeFill="accent1" w:themeFillTint="19"/>
      </w:tcPr>
    </w:tblStylePr>
    <w:tblStylePr w:type="lastRow">
      <w:rPr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BE5F1" w:themeFill="accent1" w:themeFillTint="33"/>
      </w:tcPr>
    </w:tblStylePr>
    <w:tblStylePr w:type="band1Vert">
      <w:tblPr/>
      <w:tcPr>
        <w:shd w:val="clear" w:color="000000" w:fill="A7BFDE" w:themeFill="accen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A7BFDE" w:themeFill="accent1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EFD3D2" w:themeFill="accent2" w:themeFillTint="3F"/>
    </w:tcPr>
    <w:tblStylePr w:type="firstRow">
      <w:rPr>
        <w:color w:val="000000"/>
      </w:rPr>
      <w:tblPr/>
      <w:tcPr>
        <w:shd w:val="clear" w:color="000000" w:fill="F8EDED" w:themeFill="accent2" w:themeFillTint="19"/>
      </w:tcPr>
    </w:tblStylePr>
    <w:tblStylePr w:type="lastRow">
      <w:rPr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2DBDB" w:themeFill="accent2" w:themeFillTint="33"/>
      </w:tcPr>
    </w:tblStylePr>
    <w:tblStylePr w:type="band1Vert">
      <w:tblPr/>
      <w:tcPr>
        <w:shd w:val="clear" w:color="000000" w:fill="DFA7A6" w:themeFill="accent2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DFA7A6" w:themeFill="accent2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E6EED5" w:themeFill="accent3" w:themeFillTint="3F"/>
    </w:tcPr>
    <w:tblStylePr w:type="firstRow">
      <w:rPr>
        <w:color w:val="000000"/>
      </w:rPr>
      <w:tblPr/>
      <w:tcPr>
        <w:shd w:val="clear" w:color="000000" w:fill="F5F8EE" w:themeFill="accent3" w:themeFillTint="19"/>
      </w:tcPr>
    </w:tblStylePr>
    <w:tblStylePr w:type="lastRow">
      <w:rPr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AF1DD" w:themeFill="accent3" w:themeFillTint="33"/>
      </w:tcPr>
    </w:tblStylePr>
    <w:tblStylePr w:type="band1Vert">
      <w:tblPr/>
      <w:tcPr>
        <w:shd w:val="clear" w:color="000000" w:fill="CDDDAC" w:themeFill="accent3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CDDDAC" w:themeFill="accent3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DFD8E8" w:themeFill="accent4" w:themeFillTint="3F"/>
    </w:tcPr>
    <w:tblStylePr w:type="firstRow">
      <w:rPr>
        <w:color w:val="000000"/>
      </w:rPr>
      <w:tblPr/>
      <w:tcPr>
        <w:shd w:val="clear" w:color="000000" w:fill="F2EFF6" w:themeFill="accent4" w:themeFillTint="19"/>
      </w:tcPr>
    </w:tblStylePr>
    <w:tblStylePr w:type="lastRow">
      <w:rPr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5DFEC" w:themeFill="accent4" w:themeFillTint="33"/>
      </w:tcPr>
    </w:tblStylePr>
    <w:tblStylePr w:type="band1Vert">
      <w:tblPr/>
      <w:tcPr>
        <w:shd w:val="clear" w:color="000000" w:fill="BFB1D0" w:themeFill="accent4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BFB1D0" w:themeFill="accent4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D2EAF1" w:themeFill="accent5" w:themeFillTint="3F"/>
    </w:tcPr>
    <w:tblStylePr w:type="firstRow">
      <w:rPr>
        <w:color w:val="000000"/>
      </w:rPr>
      <w:tblPr/>
      <w:tcPr>
        <w:shd w:val="clear" w:color="000000" w:fill="EDF6F9" w:themeFill="accent5" w:themeFillTint="19"/>
      </w:tcPr>
    </w:tblStylePr>
    <w:tblStylePr w:type="lastRow">
      <w:rPr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AEEF3" w:themeFill="accent5" w:themeFillTint="33"/>
      </w:tcPr>
    </w:tblStylePr>
    <w:tblStylePr w:type="band1Vert">
      <w:tblPr/>
      <w:tcPr>
        <w:shd w:val="clear" w:color="000000" w:fill="A5D5E2" w:themeFill="accent5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A5D5E2" w:themeFill="accent5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  <w:sz w:val="24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000000" w:fill="FDE4D0" w:themeFill="accent6" w:themeFillTint="3F"/>
    </w:tcPr>
    <w:tblStylePr w:type="firstRow">
      <w:rPr>
        <w:color w:val="000000"/>
      </w:rPr>
      <w:tblPr/>
      <w:tcPr>
        <w:shd w:val="clear" w:color="000000" w:fill="FEF4EC" w:themeFill="accent6" w:themeFillTint="19"/>
      </w:tcPr>
    </w:tblStylePr>
    <w:tblStylePr w:type="lastRow">
      <w:rPr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DE9D9" w:themeFill="accent6" w:themeFillTint="33"/>
      </w:tcPr>
    </w:tblStylePr>
    <w:tblStylePr w:type="band1Vert">
      <w:tblPr/>
      <w:tcPr>
        <w:shd w:val="clear" w:color="000000" w:fill="FBCAA2" w:themeFill="accent6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FBCAA2" w:themeFill="accent6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000000" w:fill="C0C0C0" w:themeFill="text1" w:themeFillTint="3F"/>
    </w:tcPr>
    <w:tblStylePr w:type="firstRow">
      <w:rPr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000000" w:themeFill="text1"/>
      </w:tcPr>
    </w:tblStylePr>
    <w:tblStylePr w:type="lastRow">
      <w:rPr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000000" w:themeFill="text1"/>
      </w:tcPr>
    </w:tblStylePr>
    <w:tblStylePr w:type="firstCol">
      <w:rPr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000000" w:themeFill="text1"/>
      </w:tcPr>
    </w:tblStylePr>
    <w:tblStylePr w:type="lastCol">
      <w:rPr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000000" w:themeFill="text1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808080" w:themeFill="text1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000000" w:fill="D3DFEE" w:themeFill="accent1" w:themeFillTint="3F"/>
    </w:tcPr>
    <w:tblStylePr w:type="firstRow">
      <w:rPr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4F81BD" w:themeFill="accent1"/>
      </w:tcPr>
    </w:tblStylePr>
    <w:tblStylePr w:type="lastRow">
      <w:rPr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4F81BD" w:themeFill="accent1"/>
      </w:tcPr>
    </w:tblStylePr>
    <w:tblStylePr w:type="firstCol">
      <w:rPr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4F81BD" w:themeFill="accent1"/>
      </w:tcPr>
    </w:tblStylePr>
    <w:tblStylePr w:type="lastCol">
      <w:rPr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4F81BD" w:themeFill="accent1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A7BFDE" w:themeFill="accent1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000000" w:fill="EFD3D2" w:themeFill="accent2" w:themeFillTint="3F"/>
    </w:tcPr>
    <w:tblStylePr w:type="firstRow">
      <w:rPr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C0504D" w:themeFill="accent2"/>
      </w:tcPr>
    </w:tblStylePr>
    <w:tblStylePr w:type="lastRow">
      <w:rPr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C0504D" w:themeFill="accent2"/>
      </w:tcPr>
    </w:tblStylePr>
    <w:tblStylePr w:type="firstCol">
      <w:rPr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C0504D" w:themeFill="accent2"/>
      </w:tcPr>
    </w:tblStylePr>
    <w:tblStylePr w:type="lastCol">
      <w:rPr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C0504D" w:themeFill="accent2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DFA7A6" w:themeFill="accent2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000000" w:fill="E6EED5" w:themeFill="accent3" w:themeFillTint="3F"/>
    </w:tcPr>
    <w:tblStylePr w:type="firstRow">
      <w:rPr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9BBB59" w:themeFill="accent3"/>
      </w:tcPr>
    </w:tblStylePr>
    <w:tblStylePr w:type="lastRow">
      <w:rPr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9BBB59" w:themeFill="accent3"/>
      </w:tcPr>
    </w:tblStylePr>
    <w:tblStylePr w:type="firstCol">
      <w:rPr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9BBB59" w:themeFill="accent3"/>
      </w:tcPr>
    </w:tblStylePr>
    <w:tblStylePr w:type="lastCol">
      <w:rPr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9BBB59" w:themeFill="accent3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CDDDAC" w:themeFill="accent3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000000" w:fill="DFD8E8" w:themeFill="accent4" w:themeFillTint="3F"/>
    </w:tcPr>
    <w:tblStylePr w:type="firstRow">
      <w:rPr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8064A2" w:themeFill="accent4"/>
      </w:tcPr>
    </w:tblStylePr>
    <w:tblStylePr w:type="lastRow">
      <w:rPr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8064A2" w:themeFill="accent4"/>
      </w:tcPr>
    </w:tblStylePr>
    <w:tblStylePr w:type="firstCol">
      <w:rPr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8064A2" w:themeFill="accent4"/>
      </w:tcPr>
    </w:tblStylePr>
    <w:tblStylePr w:type="lastCol">
      <w:rPr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8064A2" w:themeFill="accent4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BFB1D0" w:themeFill="accent4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000000" w:fill="D2EAF1" w:themeFill="accent5" w:themeFillTint="3F"/>
    </w:tcPr>
    <w:tblStylePr w:type="firstRow">
      <w:rPr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4BACC6" w:themeFill="accent5"/>
      </w:tcPr>
    </w:tblStylePr>
    <w:tblStylePr w:type="lastRow">
      <w:rPr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4BACC6" w:themeFill="accent5"/>
      </w:tcPr>
    </w:tblStylePr>
    <w:tblStylePr w:type="firstCol">
      <w:rPr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4BACC6" w:themeFill="accent5"/>
      </w:tcPr>
    </w:tblStylePr>
    <w:tblStylePr w:type="lastCol">
      <w:rPr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4BACC6" w:themeFill="accent5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A5D5E2" w:themeFill="accent5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</w:tblPr>
    <w:tcPr>
      <w:shd w:val="clear" w:color="000000" w:fill="FDE4D0" w:themeFill="accent6" w:themeFillTint="3F"/>
    </w:tcPr>
    <w:tblStylePr w:type="firstRow">
      <w:rPr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79646" w:themeFill="accent6"/>
      </w:tcPr>
    </w:tblStylePr>
    <w:tblStylePr w:type="lastRow">
      <w:rPr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79646" w:themeFill="accent6"/>
      </w:tcPr>
    </w:tblStylePr>
    <w:tblStylePr w:type="firstCol">
      <w:rPr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F79646" w:themeFill="accent6"/>
      </w:tcPr>
    </w:tblStylePr>
    <w:tblStylePr w:type="lastCol">
      <w:rPr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F79646" w:themeFill="accent6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BCAA2" w:themeFill="accent6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cPr>
      <w:shd w:val="clear" w:color="000000" w:fill="000000" w:themeFill="text1"/>
    </w:tcPr>
    <w:tblStylePr w:type="firstRow"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cPr>
      <w:shd w:val="clear" w:color="000000" w:fill="4F81BD" w:themeFill="accent1"/>
    </w:tcPr>
    <w:tblStylePr w:type="firstRow"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cPr>
      <w:shd w:val="clear" w:color="000000" w:fill="C0504D" w:themeFill="accent2"/>
    </w:tcPr>
    <w:tblStylePr w:type="firstRow"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cPr>
      <w:shd w:val="clear" w:color="000000" w:fill="9BBB59" w:themeFill="accent3"/>
    </w:tcPr>
    <w:tblStylePr w:type="firstRow"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cPr>
      <w:shd w:val="clear" w:color="000000" w:fill="8064A2" w:themeFill="accent4"/>
    </w:tcPr>
    <w:tblStylePr w:type="firstRow"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cPr>
      <w:shd w:val="clear" w:color="000000" w:fill="4BACC6" w:themeFill="accent5"/>
    </w:tcPr>
    <w:tblStylePr w:type="firstRow"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cPr>
      <w:shd w:val="clear" w:color="000000" w:fill="F79646" w:themeFill="accent6"/>
    </w:tcPr>
    <w:tblStylePr w:type="firstRow"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000000" w:fill="E6E6E6" w:themeFill="text1" w:themeFillTint="19"/>
    </w:tcPr>
    <w:tblStylePr w:type="firstRow"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color w:val="000000"/>
      </w:rPr>
      <w:tblPr/>
      <w:tcPr>
        <w:tcBorders>
          <w:top w:val="single" w:sz="6" w:space="0" w:color="000000"/>
        </w:tcBorders>
        <w:shd w:val="clear" w:color="000000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000000" w:fill="EDF2F8" w:themeFill="accent1" w:themeFillTint="19"/>
    </w:tcPr>
    <w:tblStylePr w:type="firstRow"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color w:val="000000"/>
      </w:rPr>
      <w:tblPr/>
      <w:tcPr>
        <w:tcBorders>
          <w:top w:val="single" w:sz="6" w:space="0" w:color="000000"/>
        </w:tcBorders>
        <w:shd w:val="clear" w:color="000000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2C4C74" w:themeFill="accent1" w:themeFillShade="99"/>
      </w:tcPr>
    </w:tblStylePr>
    <w:tblStylePr w:type="band1Vert">
      <w:tblPr/>
      <w:tcPr>
        <w:shd w:val="clear" w:color="000000" w:fill="B8CCE4" w:themeFill="accent1" w:themeFillTint="66"/>
      </w:tcPr>
    </w:tblStylePr>
    <w:tblStylePr w:type="band1Horz">
      <w:tblPr/>
      <w:tcPr>
        <w:shd w:val="clear" w:color="000000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000000" w:fill="F8EDED" w:themeFill="accent2" w:themeFillTint="19"/>
    </w:tcPr>
    <w:tblStylePr w:type="firstRow"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color w:val="000000"/>
      </w:rPr>
      <w:tblPr/>
      <w:tcPr>
        <w:tcBorders>
          <w:top w:val="single" w:sz="6" w:space="0" w:color="000000"/>
        </w:tcBorders>
        <w:shd w:val="clear" w:color="000000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772C2A" w:themeFill="accent2" w:themeFillShade="99"/>
      </w:tcPr>
    </w:tblStylePr>
    <w:tblStylePr w:type="band1Vert">
      <w:tblPr/>
      <w:tcPr>
        <w:shd w:val="clear" w:color="000000" w:fill="E5B8B7" w:themeFill="accent2" w:themeFillTint="66"/>
      </w:tcPr>
    </w:tblStylePr>
    <w:tblStylePr w:type="band1Horz">
      <w:tblPr/>
      <w:tcPr>
        <w:shd w:val="clear" w:color="000000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000000" w:fill="F5F8EE" w:themeFill="accent3" w:themeFillTint="19"/>
    </w:tcPr>
    <w:tblStylePr w:type="firstRow"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color w:val="000000"/>
      </w:rPr>
      <w:tblPr/>
      <w:tcPr>
        <w:tcBorders>
          <w:top w:val="single" w:sz="6" w:space="0" w:color="000000"/>
        </w:tcBorders>
        <w:shd w:val="clear" w:color="000000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5E7530" w:themeFill="accent3" w:themeFillShade="99"/>
      </w:tcPr>
    </w:tblStylePr>
    <w:tblStylePr w:type="band1Vert">
      <w:tblPr/>
      <w:tcPr>
        <w:shd w:val="clear" w:color="000000" w:fill="D6E3BC" w:themeFill="accent3" w:themeFillTint="66"/>
      </w:tcPr>
    </w:tblStylePr>
    <w:tblStylePr w:type="band1Horz">
      <w:tblPr/>
      <w:tcPr>
        <w:shd w:val="clear" w:color="000000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000000" w:fill="F2EFF6" w:themeFill="accent4" w:themeFillTint="19"/>
    </w:tcPr>
    <w:tblStylePr w:type="firstRow"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color w:val="000000"/>
      </w:rPr>
      <w:tblPr/>
      <w:tcPr>
        <w:tcBorders>
          <w:top w:val="single" w:sz="6" w:space="0" w:color="000000"/>
        </w:tcBorders>
        <w:shd w:val="clear" w:color="000000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4C3B62" w:themeFill="accent4" w:themeFillShade="99"/>
      </w:tcPr>
    </w:tblStylePr>
    <w:tblStylePr w:type="band1Vert">
      <w:tblPr/>
      <w:tcPr>
        <w:shd w:val="clear" w:color="000000" w:fill="CCC0D9" w:themeFill="accent4" w:themeFillTint="66"/>
      </w:tcPr>
    </w:tblStylePr>
    <w:tblStylePr w:type="band1Horz">
      <w:tblPr/>
      <w:tcPr>
        <w:shd w:val="clear" w:color="000000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000000" w:fill="EDF6F9" w:themeFill="accent5" w:themeFillTint="19"/>
    </w:tcPr>
    <w:tblStylePr w:type="firstRow"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color w:val="000000"/>
      </w:rPr>
      <w:tblPr/>
      <w:tcPr>
        <w:tcBorders>
          <w:top w:val="single" w:sz="6" w:space="0" w:color="000000"/>
        </w:tcBorders>
        <w:shd w:val="clear" w:color="000000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276A7C" w:themeFill="accent5" w:themeFillShade="99"/>
      </w:tcPr>
    </w:tblStylePr>
    <w:tblStylePr w:type="band1Vert">
      <w:tblPr/>
      <w:tcPr>
        <w:shd w:val="clear" w:color="000000" w:fill="B6DDE8" w:themeFill="accent5" w:themeFillTint="66"/>
      </w:tcPr>
    </w:tblStylePr>
    <w:tblStylePr w:type="band1Horz">
      <w:tblPr/>
      <w:tcPr>
        <w:shd w:val="clear" w:color="000000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cPr>
      <w:shd w:val="clear" w:color="000000" w:fill="FEF4EC" w:themeFill="accent6" w:themeFillTint="19"/>
    </w:tcPr>
    <w:tblStylePr w:type="firstRow"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color w:val="000000"/>
      </w:rPr>
      <w:tblPr/>
      <w:tcPr>
        <w:tcBorders>
          <w:top w:val="single" w:sz="6" w:space="0" w:color="000000"/>
        </w:tcBorders>
        <w:shd w:val="clear" w:color="000000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B65608" w:themeFill="accent6" w:themeFillShade="99"/>
      </w:tcPr>
    </w:tblStylePr>
    <w:tblStylePr w:type="band1Vert">
      <w:tblPr/>
      <w:tcPr>
        <w:shd w:val="clear" w:color="000000" w:fill="FBD4B4" w:themeFill="accent6" w:themeFillTint="66"/>
      </w:tcPr>
    </w:tblStylePr>
    <w:tblStylePr w:type="band1Horz">
      <w:tblPr/>
      <w:tcPr>
        <w:shd w:val="clear" w:color="000000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cPr>
      <w:shd w:val="clear" w:color="000000" w:fill="E6E6E6" w:themeFill="text1" w:themeFillTint="19"/>
    </w:tcPr>
    <w:tblStylePr w:type="firstRow">
      <w:rPr>
        <w:color w:val="000000"/>
      </w:rPr>
      <w:tblPr/>
      <w:tcPr>
        <w:tcBorders>
          <w:bottom w:val="single" w:sz="12" w:space="0" w:color="000000"/>
        </w:tcBorders>
        <w:shd w:val="clear" w:color="000000" w:fill="9E3A38" w:themeFill="accent2" w:themeFillShade="CC"/>
      </w:tcPr>
    </w:tblStylePr>
    <w:tblStylePr w:type="lastRow">
      <w:rPr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cPr>
      <w:shd w:val="clear" w:color="000000" w:fill="EDF2F8" w:themeFill="accent1" w:themeFillTint="19"/>
    </w:tcPr>
    <w:tblStylePr w:type="firstRow">
      <w:rPr>
        <w:color w:val="000000"/>
      </w:rPr>
      <w:tblPr/>
      <w:tcPr>
        <w:tcBorders>
          <w:bottom w:val="single" w:sz="12" w:space="0" w:color="000000"/>
        </w:tcBorders>
        <w:shd w:val="clear" w:color="000000" w:fill="9E3A38" w:themeFill="accent2" w:themeFillShade="CC"/>
      </w:tcPr>
    </w:tblStylePr>
    <w:tblStylePr w:type="lastRow">
      <w:rPr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cPr>
      <w:shd w:val="clear" w:color="000000" w:fill="F8EDED" w:themeFill="accent2" w:themeFillTint="19"/>
    </w:tcPr>
    <w:tblStylePr w:type="firstRow">
      <w:rPr>
        <w:color w:val="000000"/>
      </w:rPr>
      <w:tblPr/>
      <w:tcPr>
        <w:tcBorders>
          <w:bottom w:val="single" w:sz="12" w:space="0" w:color="000000"/>
        </w:tcBorders>
        <w:shd w:val="clear" w:color="000000" w:fill="9E3A38" w:themeFill="accent2" w:themeFillShade="CC"/>
      </w:tcPr>
    </w:tblStylePr>
    <w:tblStylePr w:type="lastRow">
      <w:rPr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cPr>
      <w:shd w:val="clear" w:color="000000" w:fill="F5F8EE" w:themeFill="accent3" w:themeFillTint="19"/>
    </w:tcPr>
    <w:tblStylePr w:type="firstRow">
      <w:rPr>
        <w:color w:val="000000"/>
      </w:rPr>
      <w:tblPr/>
      <w:tcPr>
        <w:tcBorders>
          <w:bottom w:val="single" w:sz="12" w:space="0" w:color="000000"/>
        </w:tcBorders>
        <w:shd w:val="clear" w:color="000000" w:fill="664E82" w:themeFill="accent4" w:themeFillShade="CC"/>
      </w:tcPr>
    </w:tblStylePr>
    <w:tblStylePr w:type="lastRow">
      <w:rPr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cPr>
      <w:shd w:val="clear" w:color="000000" w:fill="F2EFF6" w:themeFill="accent4" w:themeFillTint="19"/>
    </w:tcPr>
    <w:tblStylePr w:type="firstRow">
      <w:rPr>
        <w:color w:val="000000"/>
      </w:rPr>
      <w:tblPr/>
      <w:tcPr>
        <w:tcBorders>
          <w:bottom w:val="single" w:sz="12" w:space="0" w:color="000000"/>
        </w:tcBorders>
        <w:shd w:val="clear" w:color="000000" w:fill="7E9C40" w:themeFill="accent3" w:themeFillShade="CC"/>
      </w:tcPr>
    </w:tblStylePr>
    <w:tblStylePr w:type="lastRow">
      <w:rPr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cPr>
      <w:shd w:val="clear" w:color="000000" w:fill="EDF6F9" w:themeFill="accent5" w:themeFillTint="19"/>
    </w:tcPr>
    <w:tblStylePr w:type="firstRow">
      <w:rPr>
        <w:color w:val="000000"/>
      </w:rPr>
      <w:tblPr/>
      <w:tcPr>
        <w:tcBorders>
          <w:bottom w:val="single" w:sz="12" w:space="0" w:color="000000"/>
        </w:tcBorders>
        <w:shd w:val="clear" w:color="000000" w:fill="F2730A" w:themeFill="accent6" w:themeFillShade="CC"/>
      </w:tcPr>
    </w:tblStylePr>
    <w:tblStylePr w:type="lastRow">
      <w:rPr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</w:tblPr>
    <w:tcPr>
      <w:shd w:val="clear" w:color="000000" w:fill="FEF4EC" w:themeFill="accent6" w:themeFillTint="19"/>
    </w:tcPr>
    <w:tblStylePr w:type="firstRow">
      <w:rPr>
        <w:color w:val="000000"/>
      </w:rPr>
      <w:tblPr/>
      <w:tcPr>
        <w:tcBorders>
          <w:bottom w:val="single" w:sz="12" w:space="0" w:color="000000"/>
        </w:tcBorders>
        <w:shd w:val="clear" w:color="000000" w:fill="348DA5" w:themeFill="accent5" w:themeFillShade="CC"/>
      </w:tcPr>
    </w:tblStylePr>
    <w:tblStylePr w:type="lastRow">
      <w:rPr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000000" w:fill="CCCCCC" w:themeFill="text1" w:themeFillTint="33"/>
    </w:tcPr>
    <w:tblStylePr w:type="firstRow">
      <w:tblPr/>
      <w:tcPr>
        <w:shd w:val="clear" w:color="000000" w:fill="999999" w:themeFill="text1" w:themeFillTint="66"/>
      </w:tcPr>
    </w:tblStylePr>
    <w:tblStylePr w:type="lastRow">
      <w:rPr>
        <w:color w:val="000000"/>
      </w:rPr>
      <w:tblPr/>
      <w:tcPr>
        <w:shd w:val="clear" w:color="000000" w:fill="999999" w:themeFill="text1" w:themeFillTint="66"/>
      </w:tcPr>
    </w:tblStylePr>
    <w:tblStylePr w:type="firstCol">
      <w:rPr>
        <w:color w:val="000000"/>
      </w:rPr>
      <w:tblPr/>
      <w:tcPr>
        <w:shd w:val="clear" w:color="000000" w:fill="000000" w:themeFill="text1" w:themeFillShade="BF"/>
      </w:tcPr>
    </w:tblStylePr>
    <w:tblStylePr w:type="lastCol">
      <w:rPr>
        <w:color w:val="000000"/>
      </w:rPr>
      <w:tblPr/>
      <w:tcPr>
        <w:shd w:val="clear" w:color="000000" w:fill="000000" w:themeFill="text1" w:themeFillShade="BF"/>
      </w:tcPr>
    </w:tblStylePr>
    <w:tblStylePr w:type="band1Vert">
      <w:tblPr/>
      <w:tcPr>
        <w:shd w:val="clear" w:color="000000" w:fill="808080" w:themeFill="text1" w:themeFillTint="7F"/>
      </w:tcPr>
    </w:tblStylePr>
    <w:tblStylePr w:type="band1Horz">
      <w:tblPr/>
      <w:tcPr>
        <w:shd w:val="clear" w:color="000000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000000" w:fill="DBE5F1" w:themeFill="accent1" w:themeFillTint="33"/>
    </w:tcPr>
    <w:tblStylePr w:type="firstRow">
      <w:tblPr/>
      <w:tcPr>
        <w:shd w:val="clear" w:color="000000" w:fill="B8CCE4" w:themeFill="accent1" w:themeFillTint="66"/>
      </w:tcPr>
    </w:tblStylePr>
    <w:tblStylePr w:type="lastRow">
      <w:rPr>
        <w:color w:val="000000"/>
      </w:rPr>
      <w:tblPr/>
      <w:tcPr>
        <w:shd w:val="clear" w:color="000000" w:fill="B8CCE4" w:themeFill="accent1" w:themeFillTint="66"/>
      </w:tcPr>
    </w:tblStylePr>
    <w:tblStylePr w:type="firstCol">
      <w:rPr>
        <w:color w:val="000000"/>
      </w:rPr>
      <w:tblPr/>
      <w:tcPr>
        <w:shd w:val="clear" w:color="000000" w:fill="365F91" w:themeFill="accent1" w:themeFillShade="BF"/>
      </w:tcPr>
    </w:tblStylePr>
    <w:tblStylePr w:type="lastCol">
      <w:rPr>
        <w:color w:val="000000"/>
      </w:rPr>
      <w:tblPr/>
      <w:tcPr>
        <w:shd w:val="clear" w:color="000000" w:fill="365F91" w:themeFill="accent1" w:themeFillShade="BF"/>
      </w:tcPr>
    </w:tblStylePr>
    <w:tblStylePr w:type="band1Vert">
      <w:tblPr/>
      <w:tcPr>
        <w:shd w:val="clear" w:color="000000" w:fill="A7BFDE" w:themeFill="accent1" w:themeFillTint="7F"/>
      </w:tcPr>
    </w:tblStylePr>
    <w:tblStylePr w:type="band1Horz">
      <w:tblPr/>
      <w:tcPr>
        <w:shd w:val="clear" w:color="000000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000000" w:fill="F2DBDB" w:themeFill="accent2" w:themeFillTint="33"/>
    </w:tcPr>
    <w:tblStylePr w:type="firstRow">
      <w:tblPr/>
      <w:tcPr>
        <w:shd w:val="clear" w:color="000000" w:fill="E5B8B7" w:themeFill="accent2" w:themeFillTint="66"/>
      </w:tcPr>
    </w:tblStylePr>
    <w:tblStylePr w:type="lastRow">
      <w:rPr>
        <w:color w:val="000000"/>
      </w:rPr>
      <w:tblPr/>
      <w:tcPr>
        <w:shd w:val="clear" w:color="000000" w:fill="E5B8B7" w:themeFill="accent2" w:themeFillTint="66"/>
      </w:tcPr>
    </w:tblStylePr>
    <w:tblStylePr w:type="firstCol">
      <w:rPr>
        <w:color w:val="000000"/>
      </w:rPr>
      <w:tblPr/>
      <w:tcPr>
        <w:shd w:val="clear" w:color="000000" w:fill="943634" w:themeFill="accent2" w:themeFillShade="BF"/>
      </w:tcPr>
    </w:tblStylePr>
    <w:tblStylePr w:type="lastCol">
      <w:rPr>
        <w:color w:val="000000"/>
      </w:rPr>
      <w:tblPr/>
      <w:tcPr>
        <w:shd w:val="clear" w:color="000000" w:fill="943634" w:themeFill="accent2" w:themeFillShade="BF"/>
      </w:tcPr>
    </w:tblStylePr>
    <w:tblStylePr w:type="band1Vert">
      <w:tblPr/>
      <w:tcPr>
        <w:shd w:val="clear" w:color="000000" w:fill="DFA7A6" w:themeFill="accent2" w:themeFillTint="7F"/>
      </w:tcPr>
    </w:tblStylePr>
    <w:tblStylePr w:type="band1Horz">
      <w:tblPr/>
      <w:tcPr>
        <w:shd w:val="clear" w:color="000000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000000" w:fill="EAF1DD" w:themeFill="accent3" w:themeFillTint="33"/>
    </w:tcPr>
    <w:tblStylePr w:type="firstRow">
      <w:tblPr/>
      <w:tcPr>
        <w:shd w:val="clear" w:color="000000" w:fill="D6E3BC" w:themeFill="accent3" w:themeFillTint="66"/>
      </w:tcPr>
    </w:tblStylePr>
    <w:tblStylePr w:type="lastRow">
      <w:rPr>
        <w:color w:val="000000"/>
      </w:rPr>
      <w:tblPr/>
      <w:tcPr>
        <w:shd w:val="clear" w:color="000000" w:fill="D6E3BC" w:themeFill="accent3" w:themeFillTint="66"/>
      </w:tcPr>
    </w:tblStylePr>
    <w:tblStylePr w:type="firstCol">
      <w:rPr>
        <w:color w:val="000000"/>
      </w:rPr>
      <w:tblPr/>
      <w:tcPr>
        <w:shd w:val="clear" w:color="000000" w:fill="76923C" w:themeFill="accent3" w:themeFillShade="BF"/>
      </w:tcPr>
    </w:tblStylePr>
    <w:tblStylePr w:type="lastCol">
      <w:rPr>
        <w:color w:val="000000"/>
      </w:rPr>
      <w:tblPr/>
      <w:tcPr>
        <w:shd w:val="clear" w:color="000000" w:fill="76923C" w:themeFill="accent3" w:themeFillShade="BF"/>
      </w:tcPr>
    </w:tblStylePr>
    <w:tblStylePr w:type="band1Vert">
      <w:tblPr/>
      <w:tcPr>
        <w:shd w:val="clear" w:color="000000" w:fill="CDDDAC" w:themeFill="accent3" w:themeFillTint="7F"/>
      </w:tcPr>
    </w:tblStylePr>
    <w:tblStylePr w:type="band1Horz">
      <w:tblPr/>
      <w:tcPr>
        <w:shd w:val="clear" w:color="000000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000000" w:fill="E5DFEC" w:themeFill="accent4" w:themeFillTint="33"/>
    </w:tcPr>
    <w:tblStylePr w:type="firstRow">
      <w:tblPr/>
      <w:tcPr>
        <w:shd w:val="clear" w:color="000000" w:fill="CCC0D9" w:themeFill="accent4" w:themeFillTint="66"/>
      </w:tcPr>
    </w:tblStylePr>
    <w:tblStylePr w:type="lastRow">
      <w:rPr>
        <w:color w:val="000000"/>
      </w:rPr>
      <w:tblPr/>
      <w:tcPr>
        <w:shd w:val="clear" w:color="000000" w:fill="CCC0D9" w:themeFill="accent4" w:themeFillTint="66"/>
      </w:tcPr>
    </w:tblStylePr>
    <w:tblStylePr w:type="firstCol">
      <w:rPr>
        <w:color w:val="000000"/>
      </w:rPr>
      <w:tblPr/>
      <w:tcPr>
        <w:shd w:val="clear" w:color="000000" w:fill="5F497A" w:themeFill="accent4" w:themeFillShade="BF"/>
      </w:tcPr>
    </w:tblStylePr>
    <w:tblStylePr w:type="lastCol">
      <w:rPr>
        <w:color w:val="000000"/>
      </w:rPr>
      <w:tblPr/>
      <w:tcPr>
        <w:shd w:val="clear" w:color="000000" w:fill="5F497A" w:themeFill="accent4" w:themeFillShade="BF"/>
      </w:tcPr>
    </w:tblStylePr>
    <w:tblStylePr w:type="band1Vert">
      <w:tblPr/>
      <w:tcPr>
        <w:shd w:val="clear" w:color="000000" w:fill="BFB1D0" w:themeFill="accent4" w:themeFillTint="7F"/>
      </w:tcPr>
    </w:tblStylePr>
    <w:tblStylePr w:type="band1Horz">
      <w:tblPr/>
      <w:tcPr>
        <w:shd w:val="clear" w:color="000000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000000" w:fill="DAEEF3" w:themeFill="accent5" w:themeFillTint="33"/>
    </w:tcPr>
    <w:tblStylePr w:type="firstRow">
      <w:tblPr/>
      <w:tcPr>
        <w:shd w:val="clear" w:color="000000" w:fill="B6DDE8" w:themeFill="accent5" w:themeFillTint="66"/>
      </w:tcPr>
    </w:tblStylePr>
    <w:tblStylePr w:type="lastRow">
      <w:rPr>
        <w:color w:val="000000"/>
      </w:rPr>
      <w:tblPr/>
      <w:tcPr>
        <w:shd w:val="clear" w:color="000000" w:fill="B6DDE8" w:themeFill="accent5" w:themeFillTint="66"/>
      </w:tcPr>
    </w:tblStylePr>
    <w:tblStylePr w:type="firstCol">
      <w:rPr>
        <w:color w:val="000000"/>
      </w:rPr>
      <w:tblPr/>
      <w:tcPr>
        <w:shd w:val="clear" w:color="000000" w:fill="31849B" w:themeFill="accent5" w:themeFillShade="BF"/>
      </w:tcPr>
    </w:tblStylePr>
    <w:tblStylePr w:type="lastCol">
      <w:rPr>
        <w:color w:val="000000"/>
      </w:rPr>
      <w:tblPr/>
      <w:tcPr>
        <w:shd w:val="clear" w:color="000000" w:fill="31849B" w:themeFill="accent5" w:themeFillShade="BF"/>
      </w:tcPr>
    </w:tblStylePr>
    <w:tblStylePr w:type="band1Vert">
      <w:tblPr/>
      <w:tcPr>
        <w:shd w:val="clear" w:color="000000" w:fill="A5D5E2" w:themeFill="accent5" w:themeFillTint="7F"/>
      </w:tcPr>
    </w:tblStylePr>
    <w:tblStylePr w:type="band1Horz">
      <w:tblPr/>
      <w:tcPr>
        <w:shd w:val="clear" w:color="000000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rFonts w:ascii="Times New Roman" w:hAnsi="Times New Roman"/>
      <w:color w:val="000000"/>
      <w:sz w:val="24"/>
    </w:rPr>
    <w:tblPr>
      <w:tblStyleRowBandSize w:val="1"/>
      <w:tblStyleColBandSize w:val="1"/>
      <w:tblBorders>
        <w:insideH w:val="single" w:sz="4" w:space="0" w:color="000000"/>
      </w:tblBorders>
    </w:tblPr>
    <w:tcPr>
      <w:shd w:val="clear" w:color="000000" w:fill="FDE9D9" w:themeFill="accent6" w:themeFillTint="33"/>
    </w:tcPr>
    <w:tblStylePr w:type="firstRow">
      <w:tblPr/>
      <w:tcPr>
        <w:shd w:val="clear" w:color="000000" w:fill="FBD4B4" w:themeFill="accent6" w:themeFillTint="66"/>
      </w:tcPr>
    </w:tblStylePr>
    <w:tblStylePr w:type="lastRow">
      <w:rPr>
        <w:color w:val="000000"/>
      </w:rPr>
      <w:tblPr/>
      <w:tcPr>
        <w:shd w:val="clear" w:color="000000" w:fill="FBD4B4" w:themeFill="accent6" w:themeFillTint="66"/>
      </w:tcPr>
    </w:tblStylePr>
    <w:tblStylePr w:type="firstCol">
      <w:rPr>
        <w:color w:val="000000"/>
      </w:rPr>
      <w:tblPr/>
      <w:tcPr>
        <w:shd w:val="clear" w:color="000000" w:fill="E36C0A" w:themeFill="accent6" w:themeFillShade="BF"/>
      </w:tcPr>
    </w:tblStylePr>
    <w:tblStylePr w:type="lastCol">
      <w:rPr>
        <w:color w:val="000000"/>
      </w:rPr>
      <w:tblPr/>
      <w:tcPr>
        <w:shd w:val="clear" w:color="000000" w:fill="E36C0A" w:themeFill="accent6" w:themeFillShade="BF"/>
      </w:tcPr>
    </w:tblStylePr>
    <w:tblStylePr w:type="band1Vert">
      <w:tblPr/>
      <w:tcPr>
        <w:shd w:val="clear" w:color="000000" w:fill="FBCAA2" w:themeFill="accent6" w:themeFillTint="7F"/>
      </w:tcPr>
    </w:tblStylePr>
    <w:tblStylePr w:type="band1Horz">
      <w:tblPr/>
      <w:tcPr>
        <w:shd w:val="clear" w:color="000000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1249</Words>
  <Characters>7120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6ixwave .</cp:lastModifiedBy>
  <cp:revision>2</cp:revision>
  <dcterms:created xsi:type="dcterms:W3CDTF">2013-12-23T23:15:00Z</dcterms:created>
  <dcterms:modified xsi:type="dcterms:W3CDTF">2026-05-31T07:24:00Z</dcterms:modified>
  <cp:category/>
</cp:coreProperties>
</file>