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正文</w:t>
      </w:r>
    </w:p>
    <w:p>
      <w:r>
        <w:t>这是可重复生成的 Office 解析样本。</w:t>
      </w:r>
    </w:p>
    <w:p>
      <w:r>
        <w:drawing>
          <wp:inline xmlns:a="http://schemas.openxmlformats.org/drawingml/2006/main" xmlns:pic="http://schemas.openxmlformats.org/drawingml/2006/picture">
            <wp:extent cx="5029200" cy="167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docx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Qavor synthetic parser fixture</dc:title>
  <dc:subject>Synthetic CC0 fixture</dc:subject>
  <dc:creator>Qavor</dc:creator>
  <cp:keywords/>
  <dc:description>generated by python-docx</dc:description>
  <cp:lastModifiedBy/>
  <cp:revision>1</cp:revision>
  <dcterms:created xsi:type="dcterms:W3CDTF">2026-01-01T00:00:00Z</dcterms:created>
  <dcterms:modified xmlns:dcterms="http://purl.org/dc/terms/" xmlns:xsi="http://www.w3.org/2001/XMLSchema-instance" xsi:type="dcterms:W3CDTF">2026-01-01T00:00:00Z</dcterms:modified>
  <cp:category/>
</cp:coreProperties>
</file>