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</w:t>
      </w:r>
      <w:r>
        <w:rPr/>
        <w:t>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Valid </w:t>
      </w:r>
      <w:r>
        <w:rPr/>
        <w:t>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that the system will have some form of system to distinguish between a refund, capture and void operation. For my approach I am used an input argument.</w:t>
      </w:r>
    </w:p>
    <w:p>
      <w:pPr>
        <w:pStyle w:val="Normal"/>
        <w:rPr/>
      </w:pPr>
      <w:r>
        <w:rPr/>
        <w:t>Also the offline verification and bank authentication will always take place before each operaion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working on transaction database as this is now required to store data and retreive information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476</TotalTime>
  <Application>LibreOffice/5.0.3.2$Windows_X86_64 LibreOffice_project/e5f16313668ac592c1bfb310f4390624e3dbfb75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2018-11-10T22:16:07Z</dcterms:modified>
  <cp:revision>5</cp:revision>
</cp:coreProperties>
</file>