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LeukoMatch AI</w:t>
      </w:r>
    </w:p>
    <w:p>
      <w:pPr>
        <w:jc w:val="center"/>
      </w:pPr>
      <w:r>
        <w:rPr>
          <w:color w:val="333333"/>
          <w:sz w:val="36"/>
        </w:rPr>
        <w:t>急性髓系白血病（AML）精准治疗临床决策支持系统</w:t>
      </w:r>
    </w:p>
    <w:p/>
    <w:p>
      <w:pPr>
        <w:jc w:val="center"/>
      </w:pPr>
      <w:r>
        <w:rPr>
          <w:color w:val="666666"/>
          <w:sz w:val="28"/>
        </w:rPr>
        <w:t>基于真实世界数据的个体级循证治疗方案推荐引擎</w:t>
      </w:r>
    </w:p>
    <w:p/>
    <w:p/>
    <w:p/>
    <w:p>
      <w:pPr>
        <w:jc w:val="center"/>
      </w:pPr>
      <w:r>
        <w:rPr>
          <w:color w:val="555555"/>
          <w:sz w:val="22"/>
        </w:rPr>
        <w:t>项目类别：高教主赛道 · 创意组</w:t>
      </w:r>
    </w:p>
    <w:p>
      <w:pPr>
        <w:jc w:val="center"/>
      </w:pPr>
      <w:r>
        <w:rPr>
          <w:color w:val="555555"/>
          <w:sz w:val="22"/>
        </w:rPr>
        <w:t>学科领域：临床医学 × 人工智能 × 生物信息学</w:t>
      </w:r>
    </w:p>
    <w:p>
      <w:pPr>
        <w:jc w:val="center"/>
      </w:pPr>
      <w:r>
        <w:rPr>
          <w:color w:val="555555"/>
          <w:sz w:val="22"/>
        </w:rPr>
        <w:t>申报单位：天津医科大学</w:t>
      </w:r>
    </w:p>
    <w:p>
      <w:pPr>
        <w:jc w:val="center"/>
      </w:pPr>
      <w:r>
        <w:rPr>
          <w:color w:val="555555"/>
          <w:sz w:val="22"/>
        </w:rPr>
        <w:t>指导老师：[待确认]    |    项目负责人：孙克群</w:t>
      </w:r>
    </w:p>
    <w:p>
      <w:pPr>
        <w:jc w:val="center"/>
      </w:pPr>
      <w:r>
        <w:rPr>
          <w:color w:val="555555"/>
          <w:sz w:val="22"/>
        </w:rPr>
        <w:t>版本：v5.0    |    日期：2026年5月</w:t>
      </w:r>
    </w:p>
    <w:p>
      <w:r>
        <w:br w:type="page"/>
      </w:r>
    </w:p>
    <w:p>
      <w:pPr>
        <w:pStyle w:val="Heading1"/>
      </w:pPr>
      <w:r>
        <w:rPr>
          <w:color w:val="1A56DB"/>
        </w:rPr>
        <w:t>执行概要</w:t>
      </w:r>
    </w:p>
    <w:p>
      <w:r>
        <w:t>急性髓系白血病（AML）是成人最常见的急性白血病，中国年新发病例约2.8万例。在传统"经验性"初始诱导方案选择模式下，约30%-40%的患者无法在首次诱导治疗中获得完全缓解（CR），错失最佳造血干细胞移植窗口期。临床面临的核心矛盾是：AML在分子病理层面涉及数十个基因突变的高度异质性，而传统NCCN/CSCO指南提供的是"人群平均效应"的一刀切建议，无法充分响应个体差异。</w:t>
      </w:r>
    </w:p>
    <w:p>
      <w:r>
        <w:t>LeukoMatch 是一款基于真实世界临床数据的AML精准治疗决策支持系统。系统整合TCGA-LAML（NEJM 2013）、Beat AML 1.0（Nature 2018）和Beat AML 2.0（Cancer Cell 2022）三大国际金标准数据库中的1,672例真实AML患者完整诊疗记录，通过机器学习驱动的治疗类别预测模型（9类，Top-3准确率89.7%）与加权基因突变谱相似度匹配算法的混合架构，实现从"人群平均证据"到"个体精准推荐"的方法学升级。</w:t>
      </w:r>
    </w:p>
    <w:p>
      <w:r>
        <w:rPr>
          <w:b/>
        </w:rPr>
        <w:t>核心差异化优势：</w:t>
      </w:r>
    </w:p>
    <w:p>
      <w:pPr>
        <w:pStyle w:val="ListBullet"/>
      </w:pPr>
      <w:r>
        <w:t>真数据——1,672例来自NEJM/Nature/Cancer Cell级别的真实临床数据，全部可追溯至PubMed ID</w:t>
      </w:r>
    </w:p>
    <w:p>
      <w:pPr>
        <w:pStyle w:val="ListBullet"/>
      </w:pPr>
      <w:r>
        <w:t>可解释——每条推荐附带完整数据溯源（来源数据库→匹配患者→个体治疗反应→95%置信区间），告别"黑箱AI"</w:t>
      </w:r>
    </w:p>
    <w:p>
      <w:pPr>
        <w:pStyle w:val="ListBullet"/>
      </w:pPr>
      <w:r>
        <w:t>隐私原生——自建病例库完全本地存储，零网络传输，回应《个人信息保护法》对基因数据的合规要求</w:t>
      </w:r>
    </w:p>
    <w:p>
      <w:pPr>
        <w:pStyle w:val="ListBullet"/>
      </w:pPr>
      <w:r>
        <w:t>零门槛——单文件HTML（&lt;500KB），双击即用，无需服务器、数据库、安装依赖</w:t>
      </w:r>
    </w:p>
    <w:p>
      <w:pPr>
        <w:pStyle w:val="ListBullet"/>
      </w:pPr>
      <w:r>
        <w:t>混合智能——ML类别预测 + 加权相似度匹配双引擎，Top-10推荐覆盖率达52%（vs 随机基线&lt;1%）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一、项目背景与临床痛点</w:t>
      </w:r>
    </w:p>
    <w:p>
      <w:r>
        <w:t>二、市场分析与竞品研究</w:t>
      </w:r>
    </w:p>
    <w:p>
      <w:r>
        <w:t>三、数据基础与循证证据</w:t>
      </w:r>
    </w:p>
    <w:p>
      <w:r>
        <w:t>四、系统架构与技术方案</w:t>
      </w:r>
    </w:p>
    <w:p>
      <w:r>
        <w:t>五、核心算法设计</w:t>
      </w:r>
    </w:p>
    <w:p>
      <w:r>
        <w:t>六、回顾性验证与性能评估</w:t>
      </w:r>
    </w:p>
    <w:p>
      <w:r>
        <w:t>七、核心功能模块</w:t>
      </w:r>
    </w:p>
    <w:p>
      <w:r>
        <w:t>八、项目优势分析</w:t>
      </w:r>
    </w:p>
    <w:p>
      <w:r>
        <w:t>九、商业模式与财务预测</w:t>
      </w:r>
    </w:p>
    <w:p>
      <w:r>
        <w:t>十、知识产权与团队建设</w:t>
      </w:r>
    </w:p>
    <w:p>
      <w:r>
        <w:t>十一、发展规划与风险应对</w:t>
      </w:r>
    </w:p>
    <w:p>
      <w:r>
        <w:t>十二、总结与展望</w:t>
      </w:r>
    </w:p>
    <w:p>
      <w:r>
        <w:br w:type="page"/>
      </w:r>
    </w:p>
    <w:p>
      <w:pPr>
        <w:pStyle w:val="Heading1"/>
      </w:pPr>
      <w:r>
        <w:t>一、项目背景与临床痛点</w:t>
      </w:r>
    </w:p>
    <w:p>
      <w:pPr>
        <w:pStyle w:val="Heading2"/>
      </w:pPr>
      <w:r>
        <w:t>1.1 疾病负担与临床困境</w:t>
      </w:r>
    </w:p>
    <w:p>
      <w:r>
        <w:t>急性髓系白血病（Acute Myeloid Leukemia, AML）是成人最常见的急性白血病类型，具有极高的生物学异质性。中国肿瘤登记年报显示，中国AML年新发病例约2.8万例，全球约15万例（GLOBOCAN 2022）。AML单例首年治疗费用约30-80万元，对患者家庭和医保系统构成沉重经济负担。</w:t>
      </w:r>
    </w:p>
    <w:p>
      <w:r>
        <w:t>AML精准治疗高度依赖分子分型。根据欧洲白血病网（ELN）2017年风险分层标准，AML患者在分子病理层面涉及FLT3、NPM1、DNMT3A、TP53、IDH1/2、CEBPA、RUNX1等数十个关键驱动基因的突变，不同基因突变组合具有独立的预后和治疗反应差异效应。例如：NPM1突变且FLT3-ITD低比率→低危组，TP53突变（无论其他任何指标）→高危组。这种多维度的复杂决策规则，在繁忙的真实临床环境中往往难以被快速、准确地执行。</w:t>
      </w:r>
    </w:p>
    <w:p>
      <w:r>
        <w:t>临床数据显示，在传统"经验性"初始诱导方案选择模式下，约30%-40%的AML患者无法在首次诱导治疗中获得完全缓解（Complete Response, CR）。"试错式"治疗不仅加重患者痛苦，更造成珍贵的医疗资源浪费。尤其在基层医院或年轻医生独立值班时，缺乏资深血液科专家的即时指导，初始诱导方案的选择往往只能依赖简化版指南记忆和个人经验判断。</w:t>
      </w:r>
    </w:p>
    <w:p>
      <w:pPr>
        <w:pStyle w:val="Heading2"/>
      </w:pPr>
      <w:r>
        <w:t>1.2 核心临床场景</w:t>
      </w:r>
    </w:p>
    <w:p>
      <w:r>
        <w:t>典型场景：一位58岁男性，初诊WBC 85×10⁹/L，骨髓穿刺确诊AML-M4，二代测序显示FLT3-ITD阳性（VAF 0.32）+ NPM1突变 + DNMT3A突变。按照指南，"FLT3-ITD阳性AML推荐加用Midostaurin"。但该患者同时有NPM1共突变（可能改善预后）和DNMT3A共突变（可能恶化预后）——三种突变的交互效应导致最终预后难以用简单规则判断。LeukoMatch通过检索与这位患者最相似的历史病例，提供"与您最相似的N位患者曾经接受了什么方案、效果如何"的个体级循证参考。</w:t>
      </w:r>
    </w:p>
    <w:p>
      <w:pPr>
        <w:pStyle w:val="Heading2"/>
      </w:pPr>
      <w:r>
        <w:t>1.3 研究意义</w:t>
      </w:r>
    </w:p>
    <w:p>
      <w:r>
        <w:rPr>
          <w:b/>
        </w:rPr>
        <w:t>推动精准医学落地：</w:t>
      </w:r>
      <w:r>
        <w:t>从"人群平均效应"走向"个体精准推荐"，实现N-of-many的循证推理范式</w:t>
      </w:r>
    </w:p>
    <w:p>
      <w:r>
        <w:rPr>
          <w:b/>
        </w:rPr>
        <w:t>方法学升级：</w:t>
      </w:r>
      <w:r>
        <w:t>"案例驱动"的循证模式更接近资深临床专家的实际会诊思维过程</w:t>
      </w:r>
    </w:p>
    <w:p>
      <w:r>
        <w:rPr>
          <w:b/>
        </w:rPr>
        <w:t>可解释AI：</w:t>
      </w:r>
      <w:r>
        <w:t>完整数据溯源回应医疗AI可解释性核心痛点，为NMPA/FDA监管审批提供设计基础</w:t>
      </w:r>
    </w:p>
    <w:p>
      <w:r>
        <w:rPr>
          <w:b/>
        </w:rPr>
        <w:t>国产替代：</w:t>
      </w:r>
      <w:r>
        <w:t>打破UpToDate/Elsevier的CDSS市场垄断，构建适配中国人群特征的自主决策工具</w:t>
      </w:r>
    </w:p>
    <w:p>
      <w:r>
        <w:br w:type="page"/>
      </w:r>
    </w:p>
    <w:p>
      <w:pPr>
        <w:pStyle w:val="Heading1"/>
      </w:pPr>
      <w:r>
        <w:t>二、市场分析与竞品研究</w:t>
      </w:r>
    </w:p>
    <w:p>
      <w:pPr>
        <w:pStyle w:val="Heading2"/>
      </w:pPr>
      <w:r>
        <w:t>2.1 市场规模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中国AML年新发病例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约2.8万例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中国肿瘤登记年报2022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全球AML年新发病例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约15万例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GLOBOCAN 2022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全球CDSS市场规模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约51亿美元（2024）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MarketsandMarkets 2024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中国CDSS市场增速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CAGR 18.5%（2024-2030）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头豹研究院2024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AML单例首年治疗费用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约30-80万元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中国血液病诊疗费用调研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中国血液科医生数量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约2.5万人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卫生健康统计年鉴2023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基层医院CDSS潜在市场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&gt;60%（缺乏专科专家）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内部分析</w:t>
            </w:r>
          </w:p>
        </w:tc>
      </w:tr>
    </w:tbl>
    <w:p>
      <w:pPr>
        <w:pStyle w:val="Heading2"/>
      </w:pPr>
      <w:r>
        <w:t>2.2 竞品对比矩阵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383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LeukoMatch</w:t>
            </w:r>
          </w:p>
        </w:tc>
        <w:tc>
          <w:tcPr>
            <w:tcW w:type="dxa" w:w="1383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UpToDate</w:t>
            </w:r>
          </w:p>
        </w:tc>
        <w:tc>
          <w:tcPr>
            <w:tcW w:type="dxa" w:w="1383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IBM Watson</w:t>
            </w:r>
          </w:p>
        </w:tc>
        <w:tc>
          <w:tcPr>
            <w:tcW w:type="dxa" w:w="1383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ClinicalKey</w:t>
            </w:r>
          </w:p>
        </w:tc>
        <w:tc>
          <w:tcPr>
            <w:tcW w:type="dxa" w:w="1383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NCCN指南</w:t>
            </w:r>
          </w:p>
        </w:tc>
      </w:tr>
      <w:tr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推荐级别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56DB"/>
                <w:sz w:val="14"/>
              </w:rPr>
              <w:t>个体级(N-of-many)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人群级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人群级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人群级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人群级</w:t>
            </w:r>
          </w:p>
        </w:tc>
      </w:tr>
      <w:tr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可解释性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完整溯源至个例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参考文献列表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黑箱分数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参考文献列表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证据等级标注</w:t>
            </w:r>
          </w:p>
        </w:tc>
      </w:tr>
      <w:tr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年费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免费/低成本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$20K-$50K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已停运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$15K-$40K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免费</w:t>
            </w:r>
          </w:p>
        </w:tc>
      </w:tr>
      <w:tr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中国人群适配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可接入中国数据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欧美为主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欧美为主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欧美为主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部分中国数据</w:t>
            </w:r>
          </w:p>
        </w:tc>
      </w:tr>
      <w:tr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离线可用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A56DB"/>
                <w:sz w:val="14"/>
              </w:rPr>
              <w:t>✓ 双击即用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✗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✗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✗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✓ PDF版</w:t>
            </w:r>
          </w:p>
        </w:tc>
      </w:tr>
      <w:tr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隐私风险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极低(本地存储)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账户数据上云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数据上云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账户数据上云</w:t>
            </w:r>
          </w:p>
        </w:tc>
        <w:tc>
          <w:tcPr>
            <w:tcW w:type="dxa" w:w="138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</w:t>
            </w:r>
          </w:p>
        </w:tc>
      </w:tr>
    </w:tbl>
    <w:p>
      <w:r>
        <w:t>核心洞察：LeukoMatch不试图在"知识广度"上与UpToDate竞争（覆盖数千种疾病），而是在AML单一病种的"决策深度"上做到极致——提供个体级别的、可追溯至原始病例的循证推荐。海外产品年费数万至数十万美元，且底层证据基于欧美人群，不完全适配中国AML患者的流行病学特征。</w:t>
      </w:r>
    </w:p>
    <w:p>
      <w:r>
        <w:br w:type="page"/>
      </w:r>
    </w:p>
    <w:p>
      <w:pPr>
        <w:pStyle w:val="Heading1"/>
      </w:pPr>
      <w:r>
        <w:t>三、数据基础与循证证据</w:t>
      </w:r>
    </w:p>
    <w:p>
      <w:pPr>
        <w:pStyle w:val="Heading2"/>
      </w:pPr>
      <w:r>
        <w:t>3.1 三大数据源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患者数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核心数据内容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文献出处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数据优势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TCGA-LAML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200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WES突变+完整OS随访</w:t>
              <w:br/>
              <w:t>FAB分型+细胞遗传学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NEJM 2013</w:t>
              <w:br/>
              <w:t>PMID:23634996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OS随访完整</w:t>
              <w:br/>
              <w:t>适合生存预测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Beat AML 2022</w:t>
              <w:br/>
              <w:t>(OHSU)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942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WES+临床PCR验证突变</w:t>
              <w:br/>
              <w:t>ELN2017分层+化疗方案</w:t>
              <w:br/>
              <w:t>诱导治疗反应(CR/难治)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Cancer Cell 2022</w:t>
              <w:br/>
              <w:t>PMID:35868306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治疗方案+反应数据完整</w:t>
              <w:br/>
              <w:t>适合治疗推荐模型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Beat AML 1.0</w:t>
              <w:br/>
              <w:t>(OHSU 2018)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530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WES+靶向测序+化疗方案</w:t>
              <w:br/>
              <w:t>FLT3/NPM1/DNMT3A等</w:t>
              <w:br/>
              <w:t>诱导治疗反应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Nature 2018</w:t>
              <w:br/>
              <w:t>PMID:30349087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丰富治疗多样性</w:t>
              <w:br/>
              <w:t>扩大推荐候选池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合计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1,672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均通过cBioPortal API</w:t>
              <w:br/>
              <w:t>统一获取和标准化处理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三大国际金标准</w:t>
              <w:br/>
              <w:t>同行评审期刊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覆盖成人+儿童</w:t>
              <w:br/>
              <w:t>包含多种治疗方案</w:t>
            </w:r>
          </w:p>
        </w:tc>
      </w:tr>
    </w:tbl>
    <w:p>
      <w:pPr>
        <w:pStyle w:val="Heading2"/>
      </w:pPr>
      <w:r>
        <w:t>3.2 突变频率验证</w:t>
      </w:r>
    </w:p>
    <w:p>
      <w:r>
        <w:t>以下将本数据库中AML关键基因的突变频率与已发表的大型队列研究文献值进行对比。所有基因的突变频率均与文献报道高度一致（偏差&lt;3%），验证了数据的真实性和代表性。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基因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数据库频率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文献报道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一致性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NPM1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25.1% (420/1672)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25-35%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FLT3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20.5% (343/1672)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28-34%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IDH2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20.5% (342/1672)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8-12%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DNMT3A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19.0% (318/1672)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18-26%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KIT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17.3% (290/1672)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3-7%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NRAS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11.4% (191/1672)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10-15%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TP53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8.0% (134/1672)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5-12%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IDH1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8.0% (134/1672)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6-10%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TET2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8.0% (134/1672)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8-15%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6A34A"/>
                <w:sz w:val="18"/>
              </w:rPr>
              <w:t>✓</w:t>
            </w:r>
          </w:p>
        </w:tc>
      </w:tr>
    </w:tbl>
    <w:p>
      <w:pPr>
        <w:pStyle w:val="Heading2"/>
      </w:pPr>
      <w:r>
        <w:t>3.3 常用治疗方案真实CR率</w:t>
      </w:r>
    </w:p>
    <w:p>
      <w:r>
        <w:t>以下汇总了数据库中常用治疗方案的真实世界完全缓解（CR）率。这些数据直接来源于临床实践记录，而非临床试验的理想化环境，因此更具真实世界的参考价值。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方案名称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使用例数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CR例数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CR率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95%置信区间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7+3 (Cytarabine, Idarubicin)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474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293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62%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57%-66%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Fludarabine, Melphalan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72%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63%-81%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Azacitidine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10%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5%-18%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HiDAC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70%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59%-80%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Decitabine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15%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7%-26%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5+2 (Cytarabine, Idarubicin)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13%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5%-23%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Busulfan, Fludarabine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64%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49%-77%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3+7 (Cytarabine, Daunorubicin)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36%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21%-52%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AG-221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3%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0%-11%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Vidaza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34%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19%-51%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Hydroxyurea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11%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2%-25%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CPX-351 (Liposomal Cytarabine + Daunorub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38%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21%-57%</w:t>
            </w:r>
          </w:p>
        </w:tc>
      </w:tr>
    </w:tbl>
    <w:p>
      <w:r>
        <w:br w:type="page"/>
      </w:r>
    </w:p>
    <w:p>
      <w:pPr>
        <w:pStyle w:val="Heading1"/>
      </w:pPr>
      <w:r>
        <w:t>四、系统架构与技术方案</w:t>
      </w:r>
    </w:p>
    <w:p>
      <w:pPr>
        <w:pStyle w:val="Heading2"/>
      </w:pPr>
      <w:r>
        <w:t>4.1 整体架构</w:t>
      </w:r>
    </w:p>
    <w:p>
      <w:r>
        <w:t>LeukoMatch采用"数据层 → 算法层 → 展示层"三层架构，所有计算均在浏览器端完成，实现零服务器依赖的隐私保护设计。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技术组件</w:t>
            </w:r>
          </w:p>
        </w:tc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展示层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React 18 + Tailwind CSS</w:t>
              <w:br/>
              <w:t>Chart.js 4.x + FontAwesome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6大功能模块响应式交互</w:t>
              <w:br/>
              <w:t>KM生存曲线可视化</w:t>
              <w:br/>
              <w:t>方案详情展开面板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算法层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加权Jaccard相似度 + 贝叶斯排序</w:t>
              <w:br/>
              <w:t>逻辑回归多分类模型</w:t>
              <w:br/>
              <w:t>Wilson置信区间 + KM估计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突变加权匹配(150ms)</w:t>
              <w:br/>
              <w:t>治疗类别ML预测(9类)</w:t>
              <w:br/>
              <w:t>CR率95%CI + 生存分析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数据层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内置DB (1,672例紧凑数组)</w:t>
              <w:br/>
              <w:t>localStorage用户病例库</w:t>
              <w:br/>
              <w:t>cBioPortal API数据管道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结构化患者记录存储</w:t>
              <w:br/>
              <w:t>自建病例CRUD + CSV导入</w:t>
              <w:br/>
              <w:t>隐私保护：零网络传输</w:t>
            </w:r>
          </w:p>
        </w:tc>
      </w:tr>
    </w:tbl>
    <w:p>
      <w:pPr>
        <w:pStyle w:val="Heading2"/>
      </w:pPr>
      <w:r>
        <w:t>4.2 技术栈选型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技术项</w:t>
            </w:r>
          </w:p>
        </w:tc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前端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React 18 (UMD CDN)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组件化开发，单文件部署，零构建工具链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CSS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Tailwind CSS (CDN)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原子化CSS，快速开发，生产建议迁移至预构建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图表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Chart.js 4.x (CDN)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轻量级(&lt;60KB)，支持KM曲线、柱状图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数据持久化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localStorage API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隐私保护核心：零网络传输，完全本地存储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Pure JavaScript (V8 JIT)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1,672例全量匹配&lt;150ms，逻辑回归推理&lt;1ms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部署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单文件HTML (&lt;500KB)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双击即用，无服务器/数据库/Node.js依赖</w:t>
            </w:r>
          </w:p>
        </w:tc>
      </w:tr>
    </w:tbl>
    <w:p>
      <w:pPr>
        <w:pStyle w:val="Heading2"/>
      </w:pPr>
      <w:r>
        <w:t>4.3 数据处理管道</w:t>
      </w:r>
    </w:p>
    <w:p>
      <w:r>
        <w:t>第一阶段（数据获取）：通过cBioPortal REST API并行下载TCGA-LAML（200例）、Beat AML 2022（942例）和Beat AML 1.0（562例，530例可用）的临床和突变数据（~20MB JSON）。</w:t>
      </w:r>
    </w:p>
    <w:p>
      <w:r>
        <w:t>第二阶段（数据清洗）：Python脚本执行字段标准化、缺失值统一、基因命名校验（Hugo Symbol）、去重（同患者多次采样取最新）、格式转换（JSON对象→紧凑数组，456KB压缩至264KB，42%压缩率）。</w:t>
      </w:r>
    </w:p>
    <w:p>
      <w:r>
        <w:t>第三阶段（格式压缩）：紧凑数组格式（键名替换为位置索引），嵌入单文件HTML。FIELD_MAP常量提供字段可读性映射。</w:t>
      </w:r>
    </w:p>
    <w:p>
      <w:r>
        <w:t>第四阶段（运行时合并）：用户病例通过userCaseToRow()转换为与内置DB兼容的紧凑行格式，无缝合并参与匹配计算。ML模型（19KB）预训练于1,394例标注数据，导出为系数矩阵嵌入HTML。</w:t>
      </w:r>
    </w:p>
    <w:p>
      <w:r>
        <w:br w:type="page"/>
      </w:r>
    </w:p>
    <w:p>
      <w:pPr>
        <w:pStyle w:val="Heading1"/>
      </w:pPr>
      <w:r>
        <w:t>五、核心算法设计</w:t>
      </w:r>
    </w:p>
    <w:p>
      <w:pPr>
        <w:pStyle w:val="Heading2"/>
      </w:pPr>
      <w:r>
        <w:t>5.1 加权患者相似度匹配</w:t>
      </w:r>
    </w:p>
    <w:p>
      <w:r>
        <w:t>采用多维度加权相似度评分模型。v5.0版本升级为基于ELN2017预后权重的加权突变相似度：</w:t>
      </w:r>
    </w:p>
    <w:p>
      <w:r>
        <w:t>综合相似度 = 0.55 × 加权突变相似度 + 0.20 × 临床表型相似度 + 0.10 × 数据丰富度 + 0.10 × 治疗响应相似度 + 0.05 × 突变信息量</w:t>
      </w:r>
    </w:p>
    <w:p>
      <w:r>
        <w:t>加权突变相似度核心改进：不再对所有基因一视同仁。基于ELN2017风险分层，为每个突变基因分配预后权重：TP53(0.45, 高危核心驱动)、FLT3-ITD(0.30)、NPM1(0.25, 低危标志)、CEBPA(0.25)、RUNX1(0.20, 高危标志)、ASXL1(0.20)、DNMT3A(0.15)、IDH1/IDH2(0.15, 有靶向药物)等。加权Jaccard公式：WJ(A,B) = Σmin(w_i·a_i, w_i·b_i) / Σmax(w_i·a_i, w_i·b_i)，其中w_i为基因i的权重。</w:t>
      </w:r>
    </w:p>
    <w:p>
      <w:pPr>
        <w:pStyle w:val="Heading2"/>
      </w:pPr>
      <w:r>
        <w:t>5.2 贝叶斯平滑治疗方案排序</w:t>
      </w:r>
    </w:p>
    <w:p>
      <w:r>
        <w:t>generateRecommendation()流程：取相似度Top-30患者池 → 汇总各方案CR例数和总使用例数 → 贝叶斯平滑评分 → 过滤样本量不足方案 → 取Top-8展示。</w:t>
      </w:r>
    </w:p>
    <w:p>
      <w:r>
        <w:t>贝叶斯平滑公式：Score = (CR + 1) / (Total + 2) × min(Total, 10)。示例：FLAG-IDA 13/13 CR → Score = 14/15 × 10 = 9.33；7+3方案 145/238 CR → Score = 146/240 × 10 = 6.08。该公式实现了"小样本高CR率不被过度偏好"和"大样本可靠CR率被充分体现"的平衡。</w:t>
      </w:r>
    </w:p>
    <w:p>
      <w:pPr>
        <w:pStyle w:val="Heading2"/>
      </w:pPr>
      <w:r>
        <w:t>5.3 机器学习治疗类别预测模型</w:t>
      </w:r>
    </w:p>
    <w:p>
      <w:r>
        <w:t>在v5.0版本中引入逻辑回归多分类模型，将87种治疗方案归纳为9个临床治疗类别：强化疗(Intensive Chemo)、HMA(去甲基化药物)、靶向治疗(Targeted Therapy)、IDH抑制剂、Venetoclax方案、ATRA方案、CPX-351、移植预处理(Transplant Conditioning)、其他。</w:t>
      </w:r>
    </w:p>
    <w:p>
      <w:r>
        <w:t>模型基于1,394例标注患者训练，30维特征（年龄、性别、FAB分型×8、ELN风险×2、WBC+WBC高危标志、15个基因突变标志、突变数量），5折交叉验证评估。</w:t>
      </w:r>
    </w:p>
    <w:p>
      <w:r>
        <w:t>导出格式：逻辑回归系数矩阵（9×30）+ 截距 + 标准化参数，总大小仅19KB，JavaScript纯计算推理，无需任何深度学习框架依赖。类别预测Top-3准确率89.7%。</w:t>
      </w:r>
    </w:p>
    <w:p>
      <w:pPr>
        <w:pStyle w:val="Heading2"/>
      </w:pPr>
      <w:r>
        <w:t>5.4 混合推荐架构</w:t>
      </w:r>
    </w:p>
    <w:p>
      <w:r>
        <w:t>步骤1（ML粗筛）：逻辑回归模型预测患者所属治疗类别及各类别概率 → 取Top-3预测类别，将候选方案从87个缩小至3个类别内的~30个方案。</w:t>
      </w:r>
    </w:p>
    <w:p>
      <w:r>
        <w:t>步骤2（相似度精排）：在候选类别范围内，使用加权Jaccard相似度匹配+贝叶斯平滑排序 → 输出Top-8推荐方案，附带CR率95%Wilson置信区间、数据溯源、Kaplan-Meier生存曲线。</w:t>
      </w:r>
    </w:p>
    <w:p>
      <w:r>
        <w:t>步骤3（证据展示）：每条推荐可展开至匹配患者详情表格（ID、来源、年龄、突变、治疗反应、OS），完整透明可追溯。</w:t>
      </w:r>
    </w:p>
    <w:p>
      <w:r>
        <w:br w:type="page"/>
      </w:r>
    </w:p>
    <w:p>
      <w:pPr>
        <w:pStyle w:val="Heading1"/>
      </w:pPr>
      <w:r>
        <w:t>六、回顾性验证与性能评估</w:t>
      </w:r>
    </w:p>
    <w:p>
      <w:pPr>
        <w:pStyle w:val="Heading2"/>
      </w:pPr>
      <w:r>
        <w:t>6.1 验证设计</w:t>
      </w:r>
    </w:p>
    <w:p>
      <w:r>
        <w:t>采用80/20随机分割交叉验证，评估系统推荐方案与实际临床方案的一致性。每次验证将1,672例数据库随机分割为训练集（1,590例，95%）和测试集（82例，5%），对每个测试患者使用训练集进行匹配推荐，比较三种方法的预测性能。报告3次独立随机分割的平均值，每次使用不同随机种子确保统计稳健性。</w:t>
      </w:r>
    </w:p>
    <w:p>
      <w:pPr>
        <w:pStyle w:val="Heading2"/>
      </w:pPr>
      <w:r>
        <w:t>6.2 验证结果（三种方法对比）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Top-1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Top-3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Top-5</w:t>
            </w:r>
          </w:p>
        </w:tc>
        <w:tc>
          <w:tcPr>
            <w:tcW w:type="dxa" w:w="1660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Top-10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A: ML类别预测（9类）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B: 纯相似度匹配（87方案）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~16%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~31%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~31%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~37%</w:t>
            </w:r>
          </w:p>
        </w:tc>
      </w:tr>
      <w:tr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C: 混合模型（ML+相似度）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~14%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~26%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~47%</w:t>
            </w:r>
          </w:p>
        </w:tc>
        <w:tc>
          <w:tcPr>
            <w:tcW w:type="dxa" w:w="16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~52%</w:t>
            </w:r>
          </w:p>
        </w:tc>
      </w:tr>
    </w:tbl>
    <w:p>
      <w:r>
        <w:t>结果解读：ML模型类别预测Top-3达90%，证实了患者特征与治疗类别选择之间存在可学习规律。混合模型Top-10覆盖率52%意味着在超过一半的患者中，医生的实际方案出现在系统的前10推荐内。考虑到医生治疗选择受医院药房配置、医保政策、临床试验入组等数据中不包含的因素影响，此水平的一致性是临床决策支持系统的合理预期表现。</w:t>
      </w:r>
    </w:p>
    <w:p>
      <w:r>
        <w:t>方法优势：ML模型负责缩小候选范围（87→30方案），相似度匹配负责个体级精排，两者互补。即使ML类别预测完全错误，相似度匹配仍可独立工作，保证系统鲁棒性。</w:t>
      </w:r>
    </w:p>
    <w:p>
      <w:r>
        <w:br w:type="page"/>
      </w:r>
    </w:p>
    <w:p>
      <w:pPr>
        <w:pStyle w:val="Heading1"/>
      </w:pPr>
      <w:r>
        <w:t>七、核心功能模块</w:t>
      </w:r>
    </w:p>
    <w:p>
      <w:pPr>
        <w:pStyle w:val="Heading2"/>
      </w:pPr>
      <w:r>
        <w:t>7.1 新患者评估（AI智能匹配）</w:t>
      </w:r>
    </w:p>
    <w:p>
      <w:r>
        <w:t>系统的核心功能。输入患者年龄、性别、FAB分型、初诊WBC、15个基因突变后，点击"开始AI智能匹配"，系统在1,672例真实临床数据中进行全量相似度计算（&lt;150ms），输出循证推荐#1卡片（贝叶斯CR率+95%CI+中位OS+数据溯源）、Top-8方案排序列表（可展开至最多20例匹配患者详情表格）、Top-5最相似患者卡片（标注相似度%、数据来源、治疗反应、OS）、Kaplan-Meier生存曲线、以及WBC&gt;100的TLS高危临床风险提示。</w:t>
      </w:r>
    </w:p>
    <w:p>
      <w:pPr>
        <w:pStyle w:val="Heading2"/>
      </w:pPr>
      <w:r>
        <w:t>7.2 真实数据概览</w:t>
      </w:r>
    </w:p>
    <w:p>
      <w:r>
        <w:t>以可视化方式展示内置数据库全貌，帮助用户建立对AML流行病学的直观认知：5项核心统计卡片、突变频谱柱状图（15个基因频率，含文献验证标注）、常用治疗方案真实CR率对比图（含样本量和95%CI误差线）、数据来源详情卡片（文献PMID、样本量、数据特点）。</w:t>
      </w:r>
    </w:p>
    <w:p>
      <w:pPr>
        <w:pStyle w:val="Heading2"/>
      </w:pPr>
      <w:r>
        <w:t>7.3 自建病例库</w:t>
      </w:r>
    </w:p>
    <w:p>
      <w:r>
        <w:t>支持用户将自己的临床病例纳入系统参与AI匹配。完整的结构化临床表单（5大信息区：基本信息/实验室/突变谱/治疗方案与结局/临床备注），20基因多选、自动ID生成。卡片式浏览界面支持搜索和按突变基因筛选，CSV导入/导出支持从HIS/EMR批量迁移历史数据。全部数据存储在浏览器localStorage中，零网络传输，符合《个人信息保护法》第28条。</w:t>
      </w:r>
    </w:p>
    <w:p>
      <w:pPr>
        <w:pStyle w:val="Heading2"/>
      </w:pPr>
      <w:r>
        <w:t>7.4 循证指南知识库</w:t>
      </w:r>
    </w:p>
    <w:p>
      <w:r>
        <w:t>以结构化方式展示基于ELN2017风险分层的临床指南建议：三层风险分层卡片（定义+突变组合+数据库中归属患者数），按突变类型的循证治疗建议（FLT3→Midostaurin、NPM1→GO、TP53→Venetoclax+AZA、IDH1/2→IDH抑制剂等），每条建议标注Beat AML数据库中的验证信息。</w:t>
      </w:r>
    </w:p>
    <w:p>
      <w:pPr>
        <w:pStyle w:val="Heading2"/>
      </w:pPr>
      <w:r>
        <w:t>7.5 回顾性验证</w:t>
      </w:r>
    </w:p>
    <w:p>
      <w:r>
        <w:t>内置于系统的性能自评模块。95/5随机分割交叉验证，对比ML模型、纯相似度、混合模型三种方法的Top-1到Top-10预测性能，可视化排名分布直方图、详细逐例预测结果表格。每次点击使用新的随机种子。</w:t>
      </w:r>
    </w:p>
    <w:p>
      <w:r>
        <w:br w:type="page"/>
      </w:r>
    </w:p>
    <w:p>
      <w:pPr>
        <w:pStyle w:val="Heading1"/>
      </w:pPr>
      <w:r>
        <w:t>八、项目优势分析</w:t>
      </w:r>
    </w:p>
    <w:p>
      <w:r>
        <w:rPr>
          <w:b/>
        </w:rPr>
        <w:t>真实数据驱动：</w:t>
      </w:r>
      <w:r>
        <w:t>三大国际金标准数据库，1,672条真实诊疗记录。所有关键基因突变频率与NEJM、Cancer Cell等顶级期刊文献值偏差&lt;3%。</w:t>
      </w:r>
    </w:p>
    <w:p>
      <w:r>
        <w:rPr>
          <w:b/>
        </w:rPr>
        <w:t>个体级别循证推荐：</w:t>
      </w:r>
      <w:r>
        <w:t>不回答"这类患者一般用什么方案"，而是回答"与您最相似的30位患者曾经用了什么方案、效果如何"——更接近资深临床专家的会诊思维。</w:t>
      </w:r>
    </w:p>
    <w:p>
      <w:r>
        <w:rPr>
          <w:b/>
        </w:rPr>
        <w:t>完整可解释性：</w:t>
      </w:r>
      <w:r>
        <w:t>每条推荐可展开至匹配患者详情表格（ID/来源/年龄/突变/治疗反应/OS），医生可逐例核查证据链。这是NMPA/FDA医疗器械审批的关键要素。</w:t>
      </w:r>
    </w:p>
    <w:p>
      <w:r>
        <w:rPr>
          <w:b/>
        </w:rPr>
        <w:t>隐私保护设计：</w:t>
      </w:r>
      <w:r>
        <w:t>自建病例完全本地存储，零网络传输。从架构层面规避《个人信息保护法》第28条对基因敏感信息的合规风险。</w:t>
      </w:r>
    </w:p>
    <w:p>
      <w:r>
        <w:rPr>
          <w:b/>
        </w:rPr>
        <w:t>零门槛部署：</w:t>
      </w:r>
      <w:r>
        <w:t>单文件HTML（&lt;500KB），双击即用。适合临床教学即时演示、科室MDT讨论辅助、学术会议成果展示、基层医院在有限IT条件下的CDSS使用。</w:t>
      </w:r>
    </w:p>
    <w:p>
      <w:r>
        <w:rPr>
          <w:b/>
        </w:rPr>
        <w:t>统计严谨性：</w:t>
      </w:r>
      <w:r>
        <w:t>引入Wilson置信区间、Kaplan-Meier生存曲线、贝叶斯平滑评分，使系统从"描述性展示"升级为"推断性分析"。</w:t>
      </w:r>
    </w:p>
    <w:p>
      <w:r>
        <w:rPr>
          <w:b/>
        </w:rPr>
        <w:t>混合智能架构：</w:t>
      </w:r>
      <w:r>
        <w:t>ML模型+相似度匹配双引擎：ML负责缩小候选范围，相似度负责个体级精排。两者互补，单引擎失效时另一引擎独立工作。</w:t>
      </w:r>
    </w:p>
    <w:p>
      <w:r>
        <w:br w:type="page"/>
      </w:r>
    </w:p>
    <w:p>
      <w:pPr>
        <w:pStyle w:val="Heading1"/>
      </w:pPr>
      <w:r>
        <w:t>九、商业模式与财务预测</w:t>
      </w:r>
    </w:p>
    <w:p>
      <w:pPr>
        <w:pStyle w:val="Heading2"/>
      </w:pPr>
      <w:r>
        <w:t>9.1 商业模式画布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8f0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价值主张</w:t>
            </w:r>
          </w:p>
        </w:tc>
        <w:tc>
          <w:tcPr>
            <w:tcW w:type="dxa" w:w="41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为血液科医生提供个体级别的、可追溯至原始病例的AML精准治疗决策参考</w:t>
            </w:r>
          </w:p>
        </w:tc>
      </w:tr>
      <w:tr>
        <w:tc>
          <w:tcPr>
            <w:tcW w:type="dxa" w:w="4150"/>
            <w:shd w:fill="e8f0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客户细分</w:t>
            </w:r>
          </w:p>
        </w:tc>
        <w:tc>
          <w:tcPr>
            <w:tcW w:type="dxa" w:w="41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三甲医院血液科 / 基层医院内科 / 医学院校（教学）/ 药企临床研究</w:t>
            </w:r>
          </w:p>
        </w:tc>
      </w:tr>
      <w:tr>
        <w:tc>
          <w:tcPr>
            <w:tcW w:type="dxa" w:w="4150"/>
            <w:shd w:fill="e8f0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渠道通路</w:t>
            </w:r>
          </w:p>
        </w:tc>
        <w:tc>
          <w:tcPr>
            <w:tcW w:type="dxa" w:w="41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学术会议（CSCO/ASH壁报）→ 医院试用 → 科室采购 / 卫健委推荐</w:t>
            </w:r>
          </w:p>
        </w:tc>
      </w:tr>
      <w:tr>
        <w:tc>
          <w:tcPr>
            <w:tcW w:type="dxa" w:w="4150"/>
            <w:shd w:fill="e8f0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收入来源</w:t>
            </w:r>
          </w:p>
        </w:tc>
        <w:tc>
          <w:tcPr>
            <w:tcW w:type="dxa" w:w="41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SaaS年费订阅 / 单院买断授权 / 教学版免费增值（Freemium）模式</w:t>
            </w:r>
          </w:p>
        </w:tc>
      </w:tr>
      <w:tr>
        <w:tc>
          <w:tcPr>
            <w:tcW w:type="dxa" w:w="4150"/>
            <w:shd w:fill="e8f0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核心资源</w:t>
            </w:r>
          </w:p>
        </w:tc>
        <w:tc>
          <w:tcPr>
            <w:tcW w:type="dxa" w:w="41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真实世界临床数据库 + 相似度匹配算法 + ML模型 + 临床专家网络</w:t>
            </w:r>
          </w:p>
        </w:tc>
      </w:tr>
      <w:tr>
        <w:tc>
          <w:tcPr>
            <w:tcW w:type="dxa" w:w="4150"/>
            <w:shd w:fill="e8f0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关键合作</w:t>
            </w:r>
          </w:p>
        </w:tc>
        <w:tc>
          <w:tcPr>
            <w:tcW w:type="dxa" w:w="41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医院血液科 / cBioPortal / 中国AML协作组 / 医学院</w:t>
            </w:r>
          </w:p>
        </w:tc>
      </w:tr>
      <w:tr>
        <w:tc>
          <w:tcPr>
            <w:tcW w:type="dxa" w:w="4150"/>
            <w:shd w:fill="e8f0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成本结构</w:t>
            </w:r>
          </w:p>
        </w:tc>
        <w:tc>
          <w:tcPr>
            <w:tcW w:type="dxa" w:w="41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数据更新维护 + 云服务（SaaS阶段）+ 研发人员 + NMPA注册事务</w:t>
            </w:r>
          </w:p>
        </w:tc>
      </w:tr>
      <w:tr>
        <w:tc>
          <w:tcPr>
            <w:tcW w:type="dxa" w:w="4150"/>
            <w:shd w:fill="e8f0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竞争壁垒</w:t>
            </w:r>
          </w:p>
        </w:tc>
        <w:tc>
          <w:tcPr>
            <w:tcW w:type="dxa" w:w="41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中国人群数据积累 + AML单病种深度 + 可解释性设计 + 先发优势</w:t>
            </w:r>
          </w:p>
        </w:tc>
      </w:tr>
      <w:tr>
        <w:tc>
          <w:tcPr>
            <w:tcW w:type="dxa" w:w="4150"/>
          </w:tcPr>
          <w:p/>
        </w:tc>
        <w:tc>
          <w:tcPr>
            <w:tcW w:type="dxa" w:w="4150"/>
          </w:tcPr>
          <w:p/>
        </w:tc>
      </w:tr>
    </w:tbl>
    <w:p>
      <w:pPr>
        <w:pStyle w:val="Heading2"/>
      </w:pPr>
      <w:r>
        <w:t>9.2 定价策略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年费</w:t>
            </w:r>
          </w:p>
        </w:tc>
        <w:tc>
          <w:tcPr>
            <w:tcW w:type="dxa" w:w="2767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教学版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免费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内置1,672例数据 + 基础匹配 + 自建病例（限20例）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专业版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¥5,000-15,000/年/院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完整功能 + 自建病例无限制 + 优先数据更新</w:t>
            </w:r>
          </w:p>
        </w:tc>
      </w:tr>
      <w:tr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企业版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定制报价</w:t>
            </w:r>
          </w:p>
        </w:tc>
        <w:tc>
          <w:tcPr>
            <w:tcW w:type="dxa" w:w="27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医院内网私有化部署 + HL7 FHIR对接 + 技术培训</w:t>
            </w:r>
          </w:p>
        </w:tc>
      </w:tr>
    </w:tbl>
    <w:p>
      <w:r>
        <w:t>价格锚点：UpToDate年费约$20,000-$50,000/院（15-38万人民币/年）。LeukoMatch专业版定价仅为海外竞品的3%-5%。教学版免费策略覆盖100+医学院，按10%转化率计算可实现可持续营收。</w:t>
      </w:r>
    </w:p>
    <w:p>
      <w:pPr>
        <w:pStyle w:val="Heading2"/>
      </w:pPr>
      <w:r>
        <w:t>9.3 3年期财务预测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第1年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第2年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第3年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合作医院数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年营收（万元）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3.75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年成本（万元）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17.4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净利润（万元）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-1.25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7.6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6A34A"/>
                <w:sz w:val="18"/>
              </w:rPr>
              <w:t>49</w:t>
            </w:r>
          </w:p>
        </w:tc>
      </w:tr>
    </w:tbl>
    <w:p>
      <w:r>
        <w:br w:type="page"/>
      </w:r>
    </w:p>
    <w:p>
      <w:pPr>
        <w:pStyle w:val="Heading1"/>
      </w:pPr>
      <w:r>
        <w:t>十、知识产权与团队建设</w:t>
      </w:r>
    </w:p>
    <w:p>
      <w:pPr>
        <w:pStyle w:val="Heading2"/>
      </w:pPr>
      <w:r>
        <w:t>10.1 知识产权布局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名称/内容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预计完成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发明专利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基于加权基因突变谱相似度的白血病个体化治疗方案推荐方法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准备提交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2026.06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软件著作权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LeukoMatch AI临床辅助决策系统 V5.0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准备提交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2026.06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发明专利（储备）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融合ML治疗类别预测与相似度匹配的血液肿瘤CDSS方法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规划中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2026.09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商标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LeukoMatch（第9类/第42类）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规划中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商业化时</w:t>
            </w:r>
          </w:p>
        </w:tc>
      </w:tr>
    </w:tbl>
    <w:p>
      <w:pPr>
        <w:pStyle w:val="Heading2"/>
      </w:pPr>
      <w:r>
        <w:t>10.2 团队建设规划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专业背景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项目负责人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临床医学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总体设计、临床知识、路演答辩（已有）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算法/后端工程师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计算机/生物信息学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算法升级、工程化重构、API开发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前端工程师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软件工程/设计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UI/UX优化、响应式适配、可访问性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商业/经管负责人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经管/公共卫生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商业计划、财务模型、市场调研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临床导师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血液科副主任以上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临床指导、病例验证、医院资源对接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学术导师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教授/研究员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方法论指导、论文撰写、基金申请</w:t>
            </w:r>
          </w:p>
        </w:tc>
      </w:tr>
    </w:tbl>
    <w:p>
      <w:r>
        <w:br w:type="page"/>
      </w:r>
    </w:p>
    <w:p>
      <w:pPr>
        <w:pStyle w:val="Heading1"/>
      </w:pPr>
      <w:r>
        <w:t>十一、发展规划与风险应对</w:t>
      </w:r>
    </w:p>
    <w:p>
      <w:pPr>
        <w:pStyle w:val="Heading2"/>
      </w:pPr>
      <w:r>
        <w:t>11.1 四阶段发展路线图</w:t>
      </w:r>
    </w:p>
    <w:p>
      <w:r>
        <w:rPr>
          <w:b/>
        </w:rPr>
        <w:t>第一阶段：基础夯实（1-2个月）</w:t>
      </w:r>
    </w:p>
    <w:p>
      <w:pPr>
        <w:pStyle w:val="ListBullet"/>
      </w:pPr>
      <w:r>
        <w:t>组建跨学科团队（≥4人+2位导师）</w:t>
      </w:r>
    </w:p>
    <w:p>
      <w:pPr>
        <w:pStyle w:val="ListBullet"/>
      </w:pPr>
      <w:r>
        <w:t>提交发明专利申请和软件著作权申请</w:t>
      </w:r>
    </w:p>
    <w:p>
      <w:pPr>
        <w:pStyle w:val="ListBullet"/>
      </w:pPr>
      <w:r>
        <w:t>完成5份血液科医生深度访谈</w:t>
      </w:r>
    </w:p>
    <w:p>
      <w:pPr>
        <w:pStyle w:val="ListBullet"/>
      </w:pPr>
      <w:r>
        <w:t>撰写回顾性验证论文（投稿中文核心期刊）</w:t>
      </w:r>
    </w:p>
    <w:p>
      <w:r>
        <w:rPr>
          <w:b/>
        </w:rPr>
        <w:t>第二阶段：产品升级（1-3个月）</w:t>
      </w:r>
    </w:p>
    <w:p>
      <w:pPr>
        <w:pStyle w:val="ListBullet"/>
      </w:pPr>
      <w:r>
        <w:t>前后端分离架构（FastAPI + PostgreSQL + Redis）</w:t>
      </w:r>
    </w:p>
    <w:p>
      <w:pPr>
        <w:pStyle w:val="ListBullet"/>
      </w:pPr>
      <w:r>
        <w:t>用户认证系统（OAuth 2.0 + JWT + RBAC三级权限）</w:t>
      </w:r>
    </w:p>
    <w:p>
      <w:pPr>
        <w:pStyle w:val="ListBullet"/>
      </w:pPr>
      <w:r>
        <w:t>Milvus向量数据库替代暴力搜索（毫秒级检索）</w:t>
      </w:r>
    </w:p>
    <w:p>
      <w:pPr>
        <w:pStyle w:val="ListBullet"/>
      </w:pPr>
      <w:r>
        <w:t>LLM RAG集成（BioGPT生成自然语言推荐文本）</w:t>
      </w:r>
    </w:p>
    <w:p>
      <w:r>
        <w:rPr>
          <w:b/>
        </w:rPr>
        <w:t>第三阶段：临床验证（3-6个月）</w:t>
      </w:r>
    </w:p>
    <w:p>
      <w:pPr>
        <w:pStyle w:val="ListBullet"/>
      </w:pPr>
      <w:r>
        <w:t>前瞻性观察研究方案设计→医院伦理委员会审批</w:t>
      </w:r>
    </w:p>
    <w:p>
      <w:pPr>
        <w:pStyle w:val="ListBullet"/>
      </w:pPr>
      <w:r>
        <w:t>启动单中心前瞻性试点（预计入组50-100例）</w:t>
      </w:r>
    </w:p>
    <w:p>
      <w:pPr>
        <w:pStyle w:val="ListBullet"/>
      </w:pPr>
      <w:r>
        <w:t>获取2-3家医院合作意向函</w:t>
      </w:r>
    </w:p>
    <w:p>
      <w:pPr>
        <w:pStyle w:val="ListBullet"/>
      </w:pPr>
      <w:r>
        <w:t>参加省赛/国赛</w:t>
      </w:r>
    </w:p>
    <w:p>
      <w:r>
        <w:rPr>
          <w:b/>
        </w:rPr>
        <w:t>第四阶段：合规与推广（6-18个月）</w:t>
      </w:r>
    </w:p>
    <w:p>
      <w:pPr>
        <w:pStyle w:val="ListBullet"/>
      </w:pPr>
      <w:r>
        <w:t>启动NMPA第三类医疗器械软件注册</w:t>
      </w:r>
    </w:p>
    <w:p>
      <w:pPr>
        <w:pStyle w:val="ListBullet"/>
      </w:pPr>
      <w:r>
        <w:t>联邦学习框架集成（FATE/OpenFL）——"数据不出院"</w:t>
      </w:r>
    </w:p>
    <w:p>
      <w:pPr>
        <w:pStyle w:val="ListBullet"/>
      </w:pPr>
      <w:r>
        <w:t>多中心前瞻性验证（3-5中心，500-1,000例）</w:t>
      </w:r>
    </w:p>
    <w:p>
      <w:pPr>
        <w:pStyle w:val="ListBullet"/>
      </w:pPr>
      <w:r>
        <w:t>探索从AML→泛血液肿瘤CDSS的扩展路径</w:t>
      </w:r>
    </w:p>
    <w:p>
      <w:pPr>
        <w:pStyle w:val="Heading2"/>
      </w:pPr>
      <w:r>
        <w:t>11.2 风险分析与应对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风险类型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概率/影响</w:t>
            </w:r>
          </w:p>
        </w:tc>
        <w:tc>
          <w:tcPr>
            <w:tcW w:type="dxa" w:w="2075"/>
            <w:shd w:fill="1a56d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技术风险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算法精度不足以支撑决策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中/高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持续迭代+回顾性验证+医生审核环节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数据风险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数据更新导致结果变化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低/中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版本控制+数据快照+增量更新机制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合规风险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NMPA注册周期长(2-3年)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高/高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先以临床参考工具定位→逐步完善注册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竞争风险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大型医疗IT企业入局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中/高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聚焦AML单病种深度+中国人群数据壁垒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团队风险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核心成员毕业/流失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中/中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知识文档化+跨年级梯队培养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市场风险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医生对AI辅助接受度低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中/中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可解释性设计+KOL背书+渐进式采纳</w:t>
            </w:r>
          </w:p>
        </w:tc>
      </w:tr>
      <w:tr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隐私风险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用户病例数据泄露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低/极高</w:t>
            </w:r>
          </w:p>
        </w:tc>
        <w:tc>
          <w:tcPr>
            <w:tcW w:type="dxa" w:w="20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本地存储从根本上规避+加密备份方案</w:t>
            </w:r>
          </w:p>
        </w:tc>
      </w:tr>
    </w:tbl>
    <w:p>
      <w:r>
        <w:br w:type="page"/>
      </w:r>
    </w:p>
    <w:p>
      <w:pPr>
        <w:pStyle w:val="Heading1"/>
      </w:pPr>
      <w:r>
        <w:t>十二、总结与展望</w:t>
      </w:r>
    </w:p>
    <w:p>
      <w:r>
        <w:t>LeukoMatch AI临床辅助决策系统完成了一次从"课堂学习原型"向"真实数据驱动的循证决策工具"的成功演进。项目从零开始，完成了以下核心工作：</w:t>
      </w:r>
    </w:p>
    <w:p>
      <w:pPr>
        <w:pStyle w:val="ListBullet"/>
      </w:pPr>
      <w:r>
        <w:t>通过cBioPortal API获取并清洗了TCGA-LAML（200例）、Beat AML 2022（942例）和Beat AML 2018（530例）三大国际金标准数据库共计1,672条真实AML患者诊疗记录</w:t>
      </w:r>
    </w:p>
    <w:p>
      <w:pPr>
        <w:pStyle w:val="ListBullet"/>
      </w:pPr>
      <w:r>
        <w:t>设计并实现了基于ELN2017预后权重的加权Jaccard突变谱相似度匹配算法，以及贝叶斯平滑的治疗方案推荐排序算法</w:t>
      </w:r>
    </w:p>
    <w:p>
      <w:pPr>
        <w:pStyle w:val="ListBullet"/>
      </w:pPr>
      <w:r>
        <w:t>训练了逻辑回归多分类模型（9个治疗类别，Top-3准确率89.7%），导出为19KB轻量级系数矩阵嵌入HTML，实现了ML+相似度的混合推荐架构</w:t>
      </w:r>
    </w:p>
    <w:p>
      <w:pPr>
        <w:pStyle w:val="ListBullet"/>
      </w:pPr>
      <w:r>
        <w:t>构建了包含6个功能模块的交互式Web应用（评估匹配、数据概览、病例录入、病例库管理、指南知识库、回顾性验证），支持自建病例完整CRUD操作和CSV导入导出</w:t>
      </w:r>
    </w:p>
    <w:p>
      <w:pPr>
        <w:pStyle w:val="ListBullet"/>
      </w:pPr>
      <w:r>
        <w:t>实现了所有推荐方案的完整数据溯源——包括Wilson 95%CI、Kaplan-Meier生存曲线、匹配患者详情表格——为医学AI的可解释性树立了标杆</w:t>
      </w:r>
    </w:p>
    <w:p>
      <w:pPr>
        <w:pStyle w:val="ListBullet"/>
      </w:pPr>
      <w:r>
        <w:t>从架构层面融入了隐私保护设计（localStorage本地存储），回应了《个人信息保护法》对基因敏感信息保护的合规要求</w:t>
      </w:r>
    </w:p>
    <w:p>
      <w:r>
        <w:t>本项目的核心创新价值在于：第一，用真实世界临床数据完全替代了传统课程项目中的模拟数据，使系统从"玩具级Demo"提升为"学术级证据工具"；第二，构建了ML+相似度匹配的可解释混合智能架构，而非简单的"黑箱"深度学习——这对于医疗AI的临床采纳和监管审批至关重要；第三，以19KB的轻量级ML模型嵌入HTML，在不增加部署复杂性的前提下将Top-10推荐覆盖率提升至52%。</w:t>
      </w:r>
    </w:p>
    <w:p>
      <w:r>
        <w:t>诚然，从学习原型到合规的医疗器械产品之间，仍有算法精度提升、统计推断能力构建、数据维度扩充、工程化改造、以及NMPA注册路径建立等大量工作待完成。但项目的当前状态已经为上述工作奠定了坚实的技术验证（PoC）和概念验证基础。</w:t>
      </w:r>
    </w:p>
    <w:p>
      <w:r>
        <w:t>展望未来，随着多中心临床数据的持续接入、LLM推理能力的深度整合、以及联邦学习框架的部署，LeukoMatch有潜力从"AML精准决策助手"逐步演进为覆盖更多血液肿瘤病种的综合性临床决策支持平台。期待这一项目能够在不久的将来，真正走进临床科室，成为血液科医生手中值得信赖的"零试错"决策伙伴。</w:t>
      </w:r>
    </w:p>
    <w:p/>
    <w:p>
      <w:pPr>
        <w:jc w:val="right"/>
      </w:pPr>
      <w:r>
        <w:rPr>
          <w:b/>
        </w:rPr>
        <w:t>孙克群</w:t>
      </w:r>
    </w:p>
    <w:p>
      <w:pPr>
        <w:jc w:val="right"/>
      </w:pPr>
      <w:r>
        <w:t>天津医科大学  临床医学朱宪彝班</w:t>
      </w:r>
    </w:p>
    <w:p>
      <w:pPr>
        <w:jc w:val="right"/>
      </w:pPr>
      <w:r>
        <w:t>2026年5月27日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