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4E" w:rsidRPr="00E4087E" w:rsidRDefault="002F7F4E" w:rsidP="002F7F4E">
      <w:pPr>
        <w:pStyle w:val="berschrift1"/>
      </w:pPr>
      <w:r w:rsidRPr="00E4087E">
        <w:t>Laborprotokoll</w:t>
      </w:r>
    </w:p>
    <w:tbl>
      <w:tblPr>
        <w:tblStyle w:val="Tabellenraster"/>
        <w:tblW w:w="9299" w:type="dxa"/>
        <w:tblBorders>
          <w:insideH w:val="none" w:sz="0" w:space="0" w:color="auto"/>
        </w:tblBorders>
        <w:tblLook w:val="04A0" w:firstRow="1" w:lastRow="0" w:firstColumn="1" w:lastColumn="0" w:noHBand="0" w:noVBand="1"/>
      </w:tblPr>
      <w:tblGrid>
        <w:gridCol w:w="2665"/>
        <w:gridCol w:w="2665"/>
        <w:gridCol w:w="1701"/>
        <w:gridCol w:w="2268"/>
      </w:tblGrid>
      <w:tr w:rsidR="002F7F4E" w:rsidTr="002F7F4E">
        <w:trPr>
          <w:trHeight w:val="283"/>
        </w:trPr>
        <w:tc>
          <w:tcPr>
            <w:tcW w:w="2665" w:type="dxa"/>
          </w:tcPr>
          <w:p w:rsidR="002F7F4E" w:rsidRPr="002F7F4E" w:rsidRDefault="002F7F4E" w:rsidP="00D55CFC">
            <w:pPr>
              <w:rPr>
                <w:b/>
              </w:rPr>
            </w:pPr>
            <w:r w:rsidRPr="002F7F4E">
              <w:rPr>
                <w:b/>
              </w:rPr>
              <w:t>Name:</w:t>
            </w:r>
          </w:p>
        </w:tc>
        <w:tc>
          <w:tcPr>
            <w:tcW w:w="2665" w:type="dxa"/>
          </w:tcPr>
          <w:p w:rsidR="002F7F4E" w:rsidRPr="002F7F4E" w:rsidRDefault="002F7F4E" w:rsidP="00D55CFC">
            <w:pPr>
              <w:rPr>
                <w:b/>
              </w:rPr>
            </w:pPr>
            <w:r w:rsidRPr="002F7F4E">
              <w:rPr>
                <w:b/>
              </w:rPr>
              <w:t>Name:</w:t>
            </w:r>
          </w:p>
        </w:tc>
        <w:tc>
          <w:tcPr>
            <w:tcW w:w="1701" w:type="dxa"/>
          </w:tcPr>
          <w:p w:rsidR="002F7F4E" w:rsidRPr="002F7F4E" w:rsidRDefault="002F7F4E" w:rsidP="00D55CFC">
            <w:pPr>
              <w:rPr>
                <w:b/>
              </w:rPr>
            </w:pPr>
            <w:r w:rsidRPr="002F7F4E">
              <w:rPr>
                <w:b/>
              </w:rPr>
              <w:t>Messplatz:</w:t>
            </w:r>
          </w:p>
        </w:tc>
        <w:tc>
          <w:tcPr>
            <w:tcW w:w="2268" w:type="dxa"/>
          </w:tcPr>
          <w:p w:rsidR="002F7F4E" w:rsidRPr="002F7F4E" w:rsidRDefault="002F7F4E" w:rsidP="00D55CFC">
            <w:pPr>
              <w:rPr>
                <w:b/>
              </w:rPr>
            </w:pPr>
            <w:r w:rsidRPr="002F7F4E">
              <w:rPr>
                <w:b/>
              </w:rPr>
              <w:t>Datum</w:t>
            </w:r>
          </w:p>
        </w:tc>
      </w:tr>
      <w:tr w:rsidR="002F7F4E" w:rsidTr="002F7F4E">
        <w:trPr>
          <w:trHeight w:val="397"/>
        </w:trPr>
        <w:tc>
          <w:tcPr>
            <w:tcW w:w="2665" w:type="dxa"/>
          </w:tcPr>
          <w:p w:rsidR="002F7F4E" w:rsidRPr="002F7F4E" w:rsidRDefault="006B2953" w:rsidP="00D55CFC">
            <w:pPr>
              <w:rPr>
                <w:b/>
              </w:rPr>
            </w:pPr>
            <w:proofErr w:type="spellStart"/>
            <w:r>
              <w:rPr>
                <w:b/>
              </w:rPr>
              <w:t>Heimbrodt</w:t>
            </w:r>
            <w:proofErr w:type="spellEnd"/>
          </w:p>
        </w:tc>
        <w:tc>
          <w:tcPr>
            <w:tcW w:w="2665" w:type="dxa"/>
          </w:tcPr>
          <w:p w:rsidR="002F7F4E" w:rsidRPr="002F7F4E" w:rsidRDefault="006B2953" w:rsidP="00D55CFC">
            <w:pPr>
              <w:rPr>
                <w:b/>
              </w:rPr>
            </w:pPr>
            <w:r>
              <w:rPr>
                <w:b/>
              </w:rPr>
              <w:t>Marvin</w:t>
            </w:r>
          </w:p>
        </w:tc>
        <w:tc>
          <w:tcPr>
            <w:tcW w:w="1701" w:type="dxa"/>
          </w:tcPr>
          <w:p w:rsidR="002F7F4E" w:rsidRPr="002F7F4E" w:rsidRDefault="002F7F4E" w:rsidP="00D55CFC">
            <w:pPr>
              <w:rPr>
                <w:b/>
              </w:rPr>
            </w:pPr>
          </w:p>
        </w:tc>
        <w:tc>
          <w:tcPr>
            <w:tcW w:w="2268" w:type="dxa"/>
          </w:tcPr>
          <w:p w:rsidR="002F7F4E" w:rsidRPr="002F7F4E" w:rsidRDefault="006B2953" w:rsidP="00D55CFC">
            <w:pPr>
              <w:rPr>
                <w:b/>
              </w:rPr>
            </w:pPr>
            <w:r>
              <w:rPr>
                <w:b/>
              </w:rPr>
              <w:t>15.03.18</w:t>
            </w:r>
          </w:p>
        </w:tc>
      </w:tr>
    </w:tbl>
    <w:p w:rsidR="002F7F4E" w:rsidRPr="002F7F4E" w:rsidRDefault="002F7F4E" w:rsidP="002F7F4E">
      <w:pPr>
        <w:pStyle w:val="berschrift2"/>
        <w:spacing w:before="480"/>
      </w:pPr>
      <w:r w:rsidRPr="002F7F4E">
        <w:t>Aufbau d</w:t>
      </w:r>
      <w:r w:rsidRPr="002F7F4E">
        <w:rPr>
          <w:rStyle w:val="berschrift2Zchn"/>
          <w:b/>
          <w:caps/>
          <w:shd w:val="clear" w:color="auto" w:fill="auto"/>
        </w:rPr>
        <w:t>e</w:t>
      </w:r>
      <w:r w:rsidRPr="002F7F4E">
        <w:t>r Messung:</w:t>
      </w:r>
    </w:p>
    <w:p w:rsidR="002F7F4E" w:rsidRDefault="002F7F4E" w:rsidP="002F7F4E">
      <w:pPr>
        <w:pBdr>
          <w:top w:val="single" w:sz="4" w:space="1" w:color="auto"/>
          <w:left w:val="single" w:sz="4" w:space="4" w:color="auto"/>
          <w:bottom w:val="single" w:sz="4" w:space="1" w:color="auto"/>
          <w:right w:val="single" w:sz="4" w:space="4" w:color="auto"/>
        </w:pBdr>
      </w:pPr>
    </w:p>
    <w:p w:rsidR="002F7F4E" w:rsidRDefault="000C040D" w:rsidP="002F7F4E">
      <w:pPr>
        <w:pBdr>
          <w:top w:val="single" w:sz="4" w:space="1" w:color="auto"/>
          <w:left w:val="single" w:sz="4" w:space="4" w:color="auto"/>
          <w:bottom w:val="single" w:sz="4" w:space="1" w:color="auto"/>
          <w:right w:val="single" w:sz="4" w:space="4" w:color="auto"/>
        </w:pBdr>
      </w:pPr>
      <w:r>
        <w:rPr>
          <w:noProof/>
          <w:lang w:eastAsia="de-DE"/>
        </w:rPr>
        <w:drawing>
          <wp:inline distT="0" distB="0" distL="0" distR="0">
            <wp:extent cx="5638800" cy="2457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457450"/>
                    </a:xfrm>
                    <a:prstGeom prst="rect">
                      <a:avLst/>
                    </a:prstGeom>
                    <a:noFill/>
                    <a:ln>
                      <a:noFill/>
                    </a:ln>
                  </pic:spPr>
                </pic:pic>
              </a:graphicData>
            </a:graphic>
          </wp:inline>
        </w:drawing>
      </w:r>
    </w:p>
    <w:p w:rsidR="002F7F4E" w:rsidRDefault="002F7F4E" w:rsidP="006B2953">
      <w:pPr>
        <w:pBdr>
          <w:top w:val="single" w:sz="4" w:space="1" w:color="auto"/>
          <w:left w:val="single" w:sz="4" w:space="4" w:color="auto"/>
          <w:bottom w:val="single" w:sz="4" w:space="1" w:color="auto"/>
          <w:right w:val="single" w:sz="4" w:space="4" w:color="auto"/>
        </w:pBdr>
        <w:jc w:val="center"/>
      </w:pPr>
    </w:p>
    <w:p w:rsidR="002F7F4E" w:rsidRDefault="002F7F4E" w:rsidP="002F7F4E">
      <w:pPr>
        <w:pBdr>
          <w:top w:val="single" w:sz="4" w:space="1" w:color="auto"/>
          <w:left w:val="single" w:sz="4" w:space="4" w:color="auto"/>
          <w:bottom w:val="single" w:sz="4" w:space="1" w:color="auto"/>
          <w:right w:val="single" w:sz="4" w:space="4" w:color="auto"/>
        </w:pBdr>
      </w:pPr>
    </w:p>
    <w:p w:rsidR="002F7F4E" w:rsidRDefault="002F7F4E" w:rsidP="002F7F4E">
      <w:pPr>
        <w:pBdr>
          <w:top w:val="single" w:sz="4" w:space="1" w:color="auto"/>
          <w:left w:val="single" w:sz="4" w:space="4" w:color="auto"/>
          <w:bottom w:val="single" w:sz="4" w:space="1" w:color="auto"/>
          <w:right w:val="single" w:sz="4" w:space="4" w:color="auto"/>
        </w:pBdr>
      </w:pPr>
    </w:p>
    <w:p w:rsidR="002F7F4E" w:rsidRPr="0087680C" w:rsidRDefault="002F7F4E" w:rsidP="002F7F4E">
      <w:pPr>
        <w:pBdr>
          <w:top w:val="single" w:sz="4" w:space="1" w:color="auto"/>
          <w:left w:val="single" w:sz="4" w:space="4" w:color="auto"/>
          <w:bottom w:val="single" w:sz="4" w:space="1" w:color="auto"/>
          <w:right w:val="single" w:sz="4" w:space="4" w:color="auto"/>
        </w:pBdr>
      </w:pPr>
    </w:p>
    <w:p w:rsidR="002F7F4E" w:rsidRPr="00552ECA" w:rsidRDefault="002F7F4E" w:rsidP="002F7F4E">
      <w:pPr>
        <w:rPr>
          <w:b/>
          <w:i/>
        </w:rPr>
      </w:pPr>
      <w:r w:rsidRPr="00552ECA">
        <w:rPr>
          <w:b/>
          <w:i/>
        </w:rPr>
        <w:t>Verwendete theoretische Grundlagen.</w:t>
      </w:r>
    </w:p>
    <w:p w:rsidR="007F0FE4" w:rsidRPr="002F7F4E" w:rsidRDefault="007F0FE4" w:rsidP="002F7F4E">
      <w:r>
        <w:t xml:space="preserve">R in Reihe: </w:t>
      </w:r>
      <w:proofErr w:type="spellStart"/>
      <w:r>
        <w:t>Rg</w:t>
      </w:r>
      <w:proofErr w:type="spellEnd"/>
      <w:r>
        <w:t xml:space="preserve"> = R1+R2</w:t>
      </w:r>
      <w:r>
        <w:br/>
        <w:t>R parallel</w:t>
      </w:r>
      <w:r w:rsidR="00F40F2D">
        <w:t xml:space="preserve">: </w:t>
      </w:r>
      <w:proofErr w:type="spellStart"/>
      <w:r w:rsidR="00F40F2D">
        <w:t>Rg</w:t>
      </w:r>
      <w:proofErr w:type="spellEnd"/>
      <w:r w:rsidR="00F40F2D">
        <w:t xml:space="preserve"> = 1/ (1/R1 + 1/R2)</w:t>
      </w:r>
    </w:p>
    <w:p w:rsidR="002F7F4E" w:rsidRDefault="002F7F4E" w:rsidP="002F7F4E">
      <w:pPr>
        <w:rPr>
          <w:i/>
        </w:rPr>
      </w:pPr>
      <w:r w:rsidRPr="002F7F4E">
        <w:rPr>
          <w:i/>
        </w:rPr>
        <w:t>Erwartete Messergebnisse:</w:t>
      </w:r>
    </w:p>
    <w:p w:rsidR="00CC08C6" w:rsidRDefault="00CC08C6" w:rsidP="002F7F4E">
      <w:pPr>
        <w:rPr>
          <w:rFonts w:eastAsiaTheme="minorEastAsia"/>
        </w:rPr>
      </w:pPr>
      <w:proofErr w:type="spellStart"/>
      <w:r>
        <w:rPr>
          <w:rFonts w:eastAsiaTheme="minorEastAsia"/>
        </w:rPr>
        <w:t>Rg</w:t>
      </w:r>
      <w:proofErr w:type="spellEnd"/>
      <w:r>
        <w:rPr>
          <w:rFonts w:eastAsiaTheme="minorEastAsia"/>
        </w:rPr>
        <w:t xml:space="preserve"> = </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(R1+R2)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R3</m:t>
                </m:r>
              </m:den>
            </m:f>
          </m:den>
        </m:f>
        <m:r>
          <w:rPr>
            <w:rFonts w:ascii="Cambria Math" w:hAnsi="Cambria Math"/>
          </w:rPr>
          <m:t>+R4</m:t>
        </m:r>
      </m:oMath>
    </w:p>
    <w:p w:rsidR="00CC08C6" w:rsidRDefault="00CC08C6" w:rsidP="002F7F4E">
      <w:pPr>
        <w:rPr>
          <w:rFonts w:eastAsiaTheme="minorEastAsia"/>
        </w:rPr>
      </w:pPr>
      <w:r>
        <w:rPr>
          <w:rFonts w:eastAsiaTheme="minorEastAsia"/>
        </w:rPr>
        <w:t>Mit</w:t>
      </w:r>
    </w:p>
    <w:p w:rsidR="00CC08C6" w:rsidRDefault="00CC08C6" w:rsidP="002F7F4E">
      <w:pPr>
        <w:rPr>
          <w:rFonts w:eastAsiaTheme="minorEastAsia"/>
        </w:rPr>
      </w:pPr>
      <w:r>
        <w:rPr>
          <w:rFonts w:eastAsiaTheme="minorEastAsia"/>
        </w:rPr>
        <w:t xml:space="preserve">R1 = </w:t>
      </w:r>
      <w:r w:rsidR="00D9657C">
        <w:rPr>
          <w:rFonts w:eastAsiaTheme="minorEastAsia"/>
        </w:rPr>
        <w:t>4,7k</w:t>
      </w:r>
      <w:r>
        <w:rPr>
          <w:rFonts w:eastAsiaTheme="minorEastAsia"/>
        </w:rPr>
        <w:t xml:space="preserve">; R2 = </w:t>
      </w:r>
      <w:r w:rsidR="00D9657C">
        <w:rPr>
          <w:rFonts w:eastAsiaTheme="minorEastAsia"/>
        </w:rPr>
        <w:t>1,2k</w:t>
      </w:r>
      <w:r>
        <w:rPr>
          <w:rFonts w:eastAsiaTheme="minorEastAsia"/>
        </w:rPr>
        <w:t xml:space="preserve">; R3 = </w:t>
      </w:r>
      <w:r w:rsidR="00D9657C">
        <w:rPr>
          <w:rFonts w:eastAsiaTheme="minorEastAsia"/>
        </w:rPr>
        <w:t>10k</w:t>
      </w:r>
      <w:r>
        <w:rPr>
          <w:rFonts w:eastAsiaTheme="minorEastAsia"/>
        </w:rPr>
        <w:t>;</w:t>
      </w:r>
      <w:r w:rsidR="00D9657C">
        <w:rPr>
          <w:rFonts w:eastAsiaTheme="minorEastAsia"/>
        </w:rPr>
        <w:t xml:space="preserve"> </w:t>
      </w:r>
      <w:r>
        <w:rPr>
          <w:rFonts w:eastAsiaTheme="minorEastAsia"/>
        </w:rPr>
        <w:t xml:space="preserve">R4 = </w:t>
      </w:r>
      <w:r w:rsidR="00D9657C">
        <w:rPr>
          <w:rFonts w:eastAsiaTheme="minorEastAsia"/>
        </w:rPr>
        <w:t>6,8k</w:t>
      </w:r>
      <w:r>
        <w:rPr>
          <w:rFonts w:eastAsiaTheme="minorEastAsia"/>
        </w:rPr>
        <w:t>;</w:t>
      </w:r>
    </w:p>
    <w:p w:rsidR="00D9657C" w:rsidRDefault="00D9657C" w:rsidP="002F7F4E">
      <w:pPr>
        <w:rPr>
          <w:rFonts w:eastAsiaTheme="minorEastAsia"/>
        </w:rPr>
      </w:pPr>
      <w:proofErr w:type="spellStart"/>
      <w:r>
        <w:rPr>
          <w:rFonts w:eastAsiaTheme="minorEastAsia"/>
        </w:rPr>
        <w:t>Rg</w:t>
      </w:r>
      <w:proofErr w:type="spellEnd"/>
      <w:r>
        <w:rPr>
          <w:rFonts w:eastAsiaTheme="minorEastAsia"/>
        </w:rPr>
        <w:t xml:space="preserve"> = 10,51k</w:t>
      </w:r>
    </w:p>
    <w:p w:rsidR="00EF2A4D" w:rsidRDefault="00EF2A4D">
      <w:pPr>
        <w:rPr>
          <w:rFonts w:eastAsiaTheme="minorEastAsia"/>
        </w:rPr>
      </w:pPr>
      <w:r>
        <w:rPr>
          <w:rFonts w:eastAsiaTheme="minorEastAsia"/>
        </w:rPr>
        <w:br w:type="page"/>
      </w:r>
    </w:p>
    <w:p w:rsidR="005A32F8" w:rsidRDefault="005A32F8" w:rsidP="002F7F4E">
      <w:pPr>
        <w:rPr>
          <w:rFonts w:eastAsiaTheme="minorEastAsia"/>
          <w:vertAlign w:val="subscript"/>
        </w:rPr>
      </w:pPr>
      <w:bookmarkStart w:id="0" w:name="_GoBack"/>
      <w:bookmarkEnd w:id="0"/>
      <w:r>
        <w:rPr>
          <w:rFonts w:eastAsiaTheme="minorEastAsia"/>
        </w:rPr>
        <w:lastRenderedPageBreak/>
        <w:t>I</w:t>
      </w:r>
      <w:r w:rsidRPr="005A32F8">
        <w:rPr>
          <w:rFonts w:eastAsiaTheme="minorEastAsia"/>
          <w:vertAlign w:val="subscript"/>
        </w:rPr>
        <w:t>4</w:t>
      </w:r>
      <w:r>
        <w:rPr>
          <w:rFonts w:eastAsiaTheme="minorEastAsia"/>
        </w:rPr>
        <w:t xml:space="preserve"> = </w:t>
      </w:r>
      <w:proofErr w:type="spellStart"/>
      <w:r>
        <w:rPr>
          <w:rFonts w:eastAsiaTheme="minorEastAsia"/>
        </w:rPr>
        <w:t>I</w:t>
      </w:r>
      <w:r w:rsidRPr="005A32F8">
        <w:rPr>
          <w:rFonts w:eastAsiaTheme="minorEastAsia"/>
          <w:vertAlign w:val="subscript"/>
        </w:rPr>
        <w:t>g</w:t>
      </w:r>
      <w:proofErr w:type="spellEnd"/>
    </w:p>
    <w:p w:rsidR="005A31AC" w:rsidRPr="005A31AC" w:rsidRDefault="005A31AC" w:rsidP="002F7F4E">
      <w:pPr>
        <w:rPr>
          <w:rFonts w:eastAsiaTheme="minorEastAsia"/>
        </w:rPr>
      </w:pPr>
      <w:proofErr w:type="spellStart"/>
      <w:r w:rsidRPr="005A31AC">
        <w:rPr>
          <w:rFonts w:eastAsiaTheme="minorEastAsia"/>
        </w:rPr>
        <w:t>I</w:t>
      </w:r>
      <w:r>
        <w:rPr>
          <w:rFonts w:eastAsiaTheme="minorEastAsia"/>
          <w:vertAlign w:val="subscript"/>
        </w:rPr>
        <w:t>g</w:t>
      </w:r>
      <w:proofErr w:type="spellEnd"/>
      <w:r>
        <w:rPr>
          <w:rFonts w:eastAsiaTheme="minorEastAsia"/>
          <w:vertAlign w:val="subscript"/>
        </w:rPr>
        <w:t xml:space="preserve"> </w:t>
      </w:r>
      <w:r w:rsidRPr="005A31AC">
        <w:rPr>
          <w:rFonts w:eastAsiaTheme="minorEastAsia"/>
        </w:rPr>
        <w:t xml:space="preserve">= </w:t>
      </w:r>
      <w:proofErr w:type="spellStart"/>
      <w:r w:rsidRPr="005A31AC">
        <w:rPr>
          <w:rFonts w:eastAsiaTheme="minorEastAsia"/>
        </w:rPr>
        <w:t>U</w:t>
      </w:r>
      <w:r w:rsidRPr="005A31AC">
        <w:rPr>
          <w:rFonts w:eastAsiaTheme="minorEastAsia"/>
          <w:vertAlign w:val="subscript"/>
        </w:rPr>
        <w:t>mess</w:t>
      </w:r>
      <w:proofErr w:type="spellEnd"/>
      <w:r w:rsidRPr="005A31AC">
        <w:rPr>
          <w:rFonts w:eastAsiaTheme="minorEastAsia"/>
        </w:rPr>
        <w:t xml:space="preserve"> / </w:t>
      </w:r>
      <w:proofErr w:type="spellStart"/>
      <w:r w:rsidRPr="005A31AC">
        <w:rPr>
          <w:rFonts w:eastAsiaTheme="minorEastAsia"/>
        </w:rPr>
        <w:t>R</w:t>
      </w:r>
      <w:r>
        <w:rPr>
          <w:rFonts w:eastAsiaTheme="minorEastAsia"/>
          <w:vertAlign w:val="subscript"/>
        </w:rPr>
        <w:t>g</w:t>
      </w:r>
      <w:proofErr w:type="spellEnd"/>
    </w:p>
    <w:tbl>
      <w:tblPr>
        <w:tblStyle w:val="Tabellenraster"/>
        <w:tblW w:w="0" w:type="auto"/>
        <w:tblLook w:val="04A0" w:firstRow="1" w:lastRow="0" w:firstColumn="1" w:lastColumn="0" w:noHBand="0" w:noVBand="1"/>
      </w:tblPr>
      <w:tblGrid>
        <w:gridCol w:w="1356"/>
        <w:gridCol w:w="1180"/>
        <w:gridCol w:w="1250"/>
        <w:gridCol w:w="1250"/>
        <w:gridCol w:w="1062"/>
        <w:gridCol w:w="1031"/>
        <w:gridCol w:w="1062"/>
        <w:gridCol w:w="1011"/>
      </w:tblGrid>
      <w:tr w:rsidR="005A31AC" w:rsidTr="005A31AC">
        <w:tc>
          <w:tcPr>
            <w:tcW w:w="1356" w:type="dxa"/>
          </w:tcPr>
          <w:p w:rsidR="005A31AC" w:rsidRDefault="005A31AC" w:rsidP="002F7F4E">
            <w:pPr>
              <w:rPr>
                <w:rFonts w:eastAsiaTheme="minorEastAsia"/>
              </w:rPr>
            </w:pPr>
            <w:proofErr w:type="spellStart"/>
            <w:r>
              <w:rPr>
                <w:rFonts w:eastAsiaTheme="minorEastAsia"/>
              </w:rPr>
              <w:t>U</w:t>
            </w:r>
            <w:r w:rsidRPr="005A31AC">
              <w:rPr>
                <w:rFonts w:eastAsiaTheme="minorEastAsia"/>
                <w:vertAlign w:val="subscript"/>
              </w:rPr>
              <w:t>mess</w:t>
            </w:r>
            <w:proofErr w:type="spellEnd"/>
            <w:r>
              <w:rPr>
                <w:rFonts w:eastAsiaTheme="minorEastAsia"/>
                <w:vertAlign w:val="subscript"/>
              </w:rPr>
              <w:t xml:space="preserve"> </w:t>
            </w:r>
            <w:r w:rsidRPr="005A31AC">
              <w:rPr>
                <w:rFonts w:eastAsiaTheme="minorEastAsia"/>
              </w:rPr>
              <w:t>[V]</w:t>
            </w:r>
          </w:p>
        </w:tc>
        <w:tc>
          <w:tcPr>
            <w:tcW w:w="1180" w:type="dxa"/>
          </w:tcPr>
          <w:p w:rsidR="005A31AC" w:rsidRDefault="005A31AC" w:rsidP="002F7F4E">
            <w:pPr>
              <w:rPr>
                <w:rFonts w:eastAsiaTheme="minorEastAsia"/>
              </w:rPr>
            </w:pPr>
            <w:r>
              <w:rPr>
                <w:rFonts w:eastAsiaTheme="minorEastAsia"/>
              </w:rPr>
              <w:t>3,3</w:t>
            </w:r>
          </w:p>
        </w:tc>
        <w:tc>
          <w:tcPr>
            <w:tcW w:w="1250" w:type="dxa"/>
          </w:tcPr>
          <w:p w:rsidR="005A31AC" w:rsidRDefault="005A31AC" w:rsidP="002F7F4E">
            <w:pPr>
              <w:rPr>
                <w:rFonts w:eastAsiaTheme="minorEastAsia"/>
              </w:rPr>
            </w:pPr>
            <w:r>
              <w:rPr>
                <w:rFonts w:eastAsiaTheme="minorEastAsia"/>
              </w:rPr>
              <w:t>2,5</w:t>
            </w:r>
          </w:p>
        </w:tc>
        <w:tc>
          <w:tcPr>
            <w:tcW w:w="1250" w:type="dxa"/>
          </w:tcPr>
          <w:p w:rsidR="005A31AC" w:rsidRDefault="005A31AC" w:rsidP="002F7F4E">
            <w:pPr>
              <w:rPr>
                <w:rFonts w:eastAsiaTheme="minorEastAsia"/>
              </w:rPr>
            </w:pPr>
            <w:r>
              <w:rPr>
                <w:rFonts w:eastAsiaTheme="minorEastAsia"/>
              </w:rPr>
              <w:t>2</w:t>
            </w:r>
          </w:p>
        </w:tc>
        <w:tc>
          <w:tcPr>
            <w:tcW w:w="1062" w:type="dxa"/>
          </w:tcPr>
          <w:p w:rsidR="005A31AC" w:rsidRDefault="005A31AC" w:rsidP="002F7F4E">
            <w:pPr>
              <w:rPr>
                <w:rFonts w:eastAsiaTheme="minorEastAsia"/>
              </w:rPr>
            </w:pPr>
            <w:r>
              <w:rPr>
                <w:rFonts w:eastAsiaTheme="minorEastAsia"/>
              </w:rPr>
              <w:t>1,5</w:t>
            </w:r>
          </w:p>
        </w:tc>
        <w:tc>
          <w:tcPr>
            <w:tcW w:w="1031" w:type="dxa"/>
          </w:tcPr>
          <w:p w:rsidR="005A31AC" w:rsidRDefault="005A31AC" w:rsidP="002F7F4E">
            <w:pPr>
              <w:rPr>
                <w:rFonts w:eastAsiaTheme="minorEastAsia"/>
              </w:rPr>
            </w:pPr>
            <w:r>
              <w:rPr>
                <w:rFonts w:eastAsiaTheme="minorEastAsia"/>
              </w:rPr>
              <w:t>1</w:t>
            </w:r>
          </w:p>
        </w:tc>
        <w:tc>
          <w:tcPr>
            <w:tcW w:w="1062" w:type="dxa"/>
          </w:tcPr>
          <w:p w:rsidR="005A31AC" w:rsidRDefault="005A31AC" w:rsidP="002F7F4E">
            <w:pPr>
              <w:rPr>
                <w:rFonts w:eastAsiaTheme="minorEastAsia"/>
              </w:rPr>
            </w:pPr>
            <w:r>
              <w:rPr>
                <w:rFonts w:eastAsiaTheme="minorEastAsia"/>
              </w:rPr>
              <w:t>0,5</w:t>
            </w:r>
          </w:p>
        </w:tc>
        <w:tc>
          <w:tcPr>
            <w:tcW w:w="1011" w:type="dxa"/>
          </w:tcPr>
          <w:p w:rsidR="005A31AC" w:rsidRDefault="005A31AC" w:rsidP="002F7F4E">
            <w:pPr>
              <w:rPr>
                <w:rFonts w:eastAsiaTheme="minorEastAsia"/>
              </w:rPr>
            </w:pPr>
            <w:r>
              <w:rPr>
                <w:rFonts w:eastAsiaTheme="minorEastAsia"/>
              </w:rPr>
              <w:t>0</w:t>
            </w:r>
          </w:p>
        </w:tc>
      </w:tr>
      <w:tr w:rsidR="005A31AC" w:rsidTr="005A31AC">
        <w:tc>
          <w:tcPr>
            <w:tcW w:w="1356" w:type="dxa"/>
          </w:tcPr>
          <w:p w:rsidR="005A31AC" w:rsidRPr="005A31AC" w:rsidRDefault="005A31AC" w:rsidP="002F7F4E">
            <w:pPr>
              <w:rPr>
                <w:rFonts w:eastAsiaTheme="minorEastAsia"/>
              </w:rPr>
            </w:pPr>
            <w:r>
              <w:rPr>
                <w:rFonts w:eastAsiaTheme="minorEastAsia"/>
              </w:rPr>
              <w:t>I</w:t>
            </w:r>
            <w:r w:rsidRPr="005A31AC">
              <w:rPr>
                <w:rFonts w:eastAsiaTheme="minorEastAsia"/>
                <w:vertAlign w:val="subscript"/>
              </w:rPr>
              <w:t>4</w:t>
            </w:r>
            <w:r>
              <w:rPr>
                <w:rFonts w:eastAsiaTheme="minorEastAsia"/>
              </w:rPr>
              <w:t xml:space="preserve"> = </w:t>
            </w:r>
            <w:proofErr w:type="spellStart"/>
            <w:r>
              <w:rPr>
                <w:rFonts w:eastAsiaTheme="minorEastAsia"/>
              </w:rPr>
              <w:t>I</w:t>
            </w:r>
            <w:r w:rsidRPr="005A31AC">
              <w:rPr>
                <w:rFonts w:eastAsiaTheme="minorEastAsia"/>
                <w:vertAlign w:val="subscript"/>
              </w:rPr>
              <w:t>g</w:t>
            </w:r>
            <w:proofErr w:type="spellEnd"/>
            <w:r>
              <w:rPr>
                <w:rFonts w:eastAsiaTheme="minorEastAsia"/>
              </w:rPr>
              <w:t>[mA]</w:t>
            </w:r>
          </w:p>
        </w:tc>
        <w:tc>
          <w:tcPr>
            <w:tcW w:w="1180" w:type="dxa"/>
          </w:tcPr>
          <w:p w:rsidR="005A31AC" w:rsidRDefault="005A31AC" w:rsidP="002F7F4E">
            <w:pPr>
              <w:rPr>
                <w:rFonts w:eastAsiaTheme="minorEastAsia"/>
              </w:rPr>
            </w:pPr>
            <w:r>
              <w:rPr>
                <w:rFonts w:eastAsiaTheme="minorEastAsia"/>
              </w:rPr>
              <w:t>0,3</w:t>
            </w:r>
          </w:p>
        </w:tc>
        <w:tc>
          <w:tcPr>
            <w:tcW w:w="1250" w:type="dxa"/>
          </w:tcPr>
          <w:p w:rsidR="005A31AC" w:rsidRDefault="005A31AC" w:rsidP="002F7F4E">
            <w:pPr>
              <w:rPr>
                <w:rFonts w:eastAsiaTheme="minorEastAsia"/>
              </w:rPr>
            </w:pPr>
            <w:r>
              <w:rPr>
                <w:rFonts w:eastAsiaTheme="minorEastAsia"/>
              </w:rPr>
              <w:t>0,24</w:t>
            </w:r>
          </w:p>
        </w:tc>
        <w:tc>
          <w:tcPr>
            <w:tcW w:w="1250" w:type="dxa"/>
          </w:tcPr>
          <w:p w:rsidR="005A31AC" w:rsidRDefault="005A31AC" w:rsidP="002F7F4E">
            <w:pPr>
              <w:rPr>
                <w:rFonts w:eastAsiaTheme="minorEastAsia"/>
              </w:rPr>
            </w:pPr>
            <w:r>
              <w:rPr>
                <w:rFonts w:eastAsiaTheme="minorEastAsia"/>
              </w:rPr>
              <w:t>0,19</w:t>
            </w:r>
          </w:p>
        </w:tc>
        <w:tc>
          <w:tcPr>
            <w:tcW w:w="1062" w:type="dxa"/>
          </w:tcPr>
          <w:p w:rsidR="005A31AC" w:rsidRDefault="005A31AC" w:rsidP="002F7F4E">
            <w:pPr>
              <w:rPr>
                <w:rFonts w:eastAsiaTheme="minorEastAsia"/>
              </w:rPr>
            </w:pPr>
            <w:r>
              <w:rPr>
                <w:rFonts w:eastAsiaTheme="minorEastAsia"/>
              </w:rPr>
              <w:t>0,14</w:t>
            </w:r>
          </w:p>
        </w:tc>
        <w:tc>
          <w:tcPr>
            <w:tcW w:w="1031" w:type="dxa"/>
          </w:tcPr>
          <w:p w:rsidR="005A31AC" w:rsidRDefault="005A31AC" w:rsidP="002F7F4E">
            <w:pPr>
              <w:rPr>
                <w:rFonts w:eastAsiaTheme="minorEastAsia"/>
              </w:rPr>
            </w:pPr>
            <w:r>
              <w:rPr>
                <w:rFonts w:eastAsiaTheme="minorEastAsia"/>
              </w:rPr>
              <w:t>0,1</w:t>
            </w:r>
          </w:p>
        </w:tc>
        <w:tc>
          <w:tcPr>
            <w:tcW w:w="1062" w:type="dxa"/>
          </w:tcPr>
          <w:p w:rsidR="005A31AC" w:rsidRDefault="005A31AC" w:rsidP="002F7F4E">
            <w:pPr>
              <w:rPr>
                <w:rFonts w:eastAsiaTheme="minorEastAsia"/>
              </w:rPr>
            </w:pPr>
            <w:r>
              <w:rPr>
                <w:rFonts w:eastAsiaTheme="minorEastAsia"/>
              </w:rPr>
              <w:t>0,05</w:t>
            </w:r>
          </w:p>
        </w:tc>
        <w:tc>
          <w:tcPr>
            <w:tcW w:w="1011" w:type="dxa"/>
          </w:tcPr>
          <w:p w:rsidR="005A31AC" w:rsidRDefault="005A31AC" w:rsidP="002F7F4E">
            <w:pPr>
              <w:rPr>
                <w:rFonts w:eastAsiaTheme="minorEastAsia"/>
              </w:rPr>
            </w:pPr>
            <w:r>
              <w:rPr>
                <w:rFonts w:eastAsiaTheme="minorEastAsia"/>
              </w:rPr>
              <w:t>0</w:t>
            </w:r>
          </w:p>
        </w:tc>
      </w:tr>
    </w:tbl>
    <w:p w:rsidR="005A31AC" w:rsidRDefault="005A31AC" w:rsidP="002F7F4E">
      <w:pPr>
        <w:rPr>
          <w:rFonts w:eastAsiaTheme="minorEastAsia"/>
        </w:rPr>
      </w:pPr>
    </w:p>
    <w:p w:rsidR="005A32F8" w:rsidRDefault="005A32F8" w:rsidP="002F7F4E">
      <w:pPr>
        <w:rPr>
          <w:rFonts w:eastAsiaTheme="minorEastAsia"/>
          <w:vertAlign w:val="subscript"/>
        </w:rPr>
      </w:pPr>
      <w:r>
        <w:rPr>
          <w:rFonts w:eastAsiaTheme="minorEastAsia"/>
        </w:rPr>
        <w:t>U</w:t>
      </w:r>
      <w:r w:rsidRPr="005A32F8">
        <w:rPr>
          <w:rFonts w:eastAsiaTheme="minorEastAsia"/>
          <w:vertAlign w:val="subscript"/>
        </w:rPr>
        <w:t>4</w:t>
      </w:r>
      <w:r>
        <w:rPr>
          <w:rFonts w:eastAsiaTheme="minorEastAsia"/>
        </w:rPr>
        <w:t xml:space="preserve"> = R</w:t>
      </w:r>
      <w:r w:rsidRPr="005A32F8">
        <w:rPr>
          <w:rFonts w:eastAsiaTheme="minorEastAsia"/>
          <w:vertAlign w:val="subscript"/>
        </w:rPr>
        <w:t>4</w:t>
      </w:r>
      <w:r>
        <w:rPr>
          <w:rFonts w:eastAsiaTheme="minorEastAsia"/>
        </w:rPr>
        <w:t xml:space="preserve"> * I</w:t>
      </w:r>
      <w:r w:rsidRPr="005A32F8">
        <w:rPr>
          <w:rFonts w:eastAsiaTheme="minorEastAsia"/>
          <w:vertAlign w:val="subscript"/>
        </w:rPr>
        <w:t>4</w:t>
      </w:r>
    </w:p>
    <w:tbl>
      <w:tblPr>
        <w:tblStyle w:val="Tabellenraster"/>
        <w:tblW w:w="0" w:type="auto"/>
        <w:tblLook w:val="04A0" w:firstRow="1" w:lastRow="0" w:firstColumn="1" w:lastColumn="0" w:noHBand="0" w:noVBand="1"/>
      </w:tblPr>
      <w:tblGrid>
        <w:gridCol w:w="1356"/>
        <w:gridCol w:w="1180"/>
        <w:gridCol w:w="1250"/>
        <w:gridCol w:w="1250"/>
        <w:gridCol w:w="1062"/>
        <w:gridCol w:w="1031"/>
        <w:gridCol w:w="1062"/>
        <w:gridCol w:w="1011"/>
      </w:tblGrid>
      <w:tr w:rsidR="005A31AC" w:rsidTr="001D4324">
        <w:tc>
          <w:tcPr>
            <w:tcW w:w="1356" w:type="dxa"/>
          </w:tcPr>
          <w:p w:rsidR="005A31AC" w:rsidRDefault="005A31AC" w:rsidP="001D4324">
            <w:pPr>
              <w:rPr>
                <w:rFonts w:eastAsiaTheme="minorEastAsia"/>
              </w:rPr>
            </w:pPr>
            <w:proofErr w:type="spellStart"/>
            <w:r>
              <w:rPr>
                <w:rFonts w:eastAsiaTheme="minorEastAsia"/>
              </w:rPr>
              <w:t>U</w:t>
            </w:r>
            <w:r w:rsidRPr="005A31AC">
              <w:rPr>
                <w:rFonts w:eastAsiaTheme="minorEastAsia"/>
                <w:vertAlign w:val="subscript"/>
              </w:rPr>
              <w:t>mess</w:t>
            </w:r>
            <w:proofErr w:type="spellEnd"/>
            <w:r>
              <w:rPr>
                <w:rFonts w:eastAsiaTheme="minorEastAsia"/>
                <w:vertAlign w:val="subscript"/>
              </w:rPr>
              <w:t xml:space="preserve"> </w:t>
            </w:r>
            <w:r w:rsidRPr="005A31AC">
              <w:rPr>
                <w:rFonts w:eastAsiaTheme="minorEastAsia"/>
              </w:rPr>
              <w:t>[V]</w:t>
            </w:r>
          </w:p>
        </w:tc>
        <w:tc>
          <w:tcPr>
            <w:tcW w:w="1180" w:type="dxa"/>
          </w:tcPr>
          <w:p w:rsidR="005A31AC" w:rsidRDefault="005A31AC" w:rsidP="001D4324">
            <w:pPr>
              <w:rPr>
                <w:rFonts w:eastAsiaTheme="minorEastAsia"/>
              </w:rPr>
            </w:pPr>
            <w:r>
              <w:rPr>
                <w:rFonts w:eastAsiaTheme="minorEastAsia"/>
              </w:rPr>
              <w:t>3,3</w:t>
            </w:r>
          </w:p>
        </w:tc>
        <w:tc>
          <w:tcPr>
            <w:tcW w:w="1250" w:type="dxa"/>
          </w:tcPr>
          <w:p w:rsidR="005A31AC" w:rsidRDefault="005A31AC" w:rsidP="001D4324">
            <w:pPr>
              <w:rPr>
                <w:rFonts w:eastAsiaTheme="minorEastAsia"/>
              </w:rPr>
            </w:pPr>
            <w:r>
              <w:rPr>
                <w:rFonts w:eastAsiaTheme="minorEastAsia"/>
              </w:rPr>
              <w:t>2,5</w:t>
            </w:r>
          </w:p>
        </w:tc>
        <w:tc>
          <w:tcPr>
            <w:tcW w:w="1250" w:type="dxa"/>
          </w:tcPr>
          <w:p w:rsidR="005A31AC" w:rsidRDefault="005A31AC" w:rsidP="001D4324">
            <w:pPr>
              <w:rPr>
                <w:rFonts w:eastAsiaTheme="minorEastAsia"/>
              </w:rPr>
            </w:pPr>
            <w:r>
              <w:rPr>
                <w:rFonts w:eastAsiaTheme="minorEastAsia"/>
              </w:rPr>
              <w:t>2</w:t>
            </w:r>
          </w:p>
        </w:tc>
        <w:tc>
          <w:tcPr>
            <w:tcW w:w="1062" w:type="dxa"/>
          </w:tcPr>
          <w:p w:rsidR="005A31AC" w:rsidRDefault="005A31AC" w:rsidP="001D4324">
            <w:pPr>
              <w:rPr>
                <w:rFonts w:eastAsiaTheme="minorEastAsia"/>
              </w:rPr>
            </w:pPr>
            <w:r>
              <w:rPr>
                <w:rFonts w:eastAsiaTheme="minorEastAsia"/>
              </w:rPr>
              <w:t>1,5</w:t>
            </w:r>
          </w:p>
        </w:tc>
        <w:tc>
          <w:tcPr>
            <w:tcW w:w="1031" w:type="dxa"/>
          </w:tcPr>
          <w:p w:rsidR="005A31AC" w:rsidRDefault="005A31AC" w:rsidP="001D4324">
            <w:pPr>
              <w:rPr>
                <w:rFonts w:eastAsiaTheme="minorEastAsia"/>
              </w:rPr>
            </w:pPr>
            <w:r>
              <w:rPr>
                <w:rFonts w:eastAsiaTheme="minorEastAsia"/>
              </w:rPr>
              <w:t>1</w:t>
            </w:r>
          </w:p>
        </w:tc>
        <w:tc>
          <w:tcPr>
            <w:tcW w:w="1062" w:type="dxa"/>
          </w:tcPr>
          <w:p w:rsidR="005A31AC" w:rsidRDefault="005A31AC" w:rsidP="001D4324">
            <w:pPr>
              <w:rPr>
                <w:rFonts w:eastAsiaTheme="minorEastAsia"/>
              </w:rPr>
            </w:pPr>
            <w:r>
              <w:rPr>
                <w:rFonts w:eastAsiaTheme="minorEastAsia"/>
              </w:rPr>
              <w:t>0,5</w:t>
            </w:r>
          </w:p>
        </w:tc>
        <w:tc>
          <w:tcPr>
            <w:tcW w:w="1011" w:type="dxa"/>
          </w:tcPr>
          <w:p w:rsidR="005A31AC" w:rsidRDefault="005A31AC" w:rsidP="001D4324">
            <w:pPr>
              <w:rPr>
                <w:rFonts w:eastAsiaTheme="minorEastAsia"/>
              </w:rPr>
            </w:pPr>
            <w:r>
              <w:rPr>
                <w:rFonts w:eastAsiaTheme="minorEastAsia"/>
              </w:rPr>
              <w:t>0</w:t>
            </w:r>
          </w:p>
        </w:tc>
      </w:tr>
      <w:tr w:rsidR="005A31AC" w:rsidTr="001D4324">
        <w:tc>
          <w:tcPr>
            <w:tcW w:w="1356" w:type="dxa"/>
          </w:tcPr>
          <w:p w:rsidR="005A31AC" w:rsidRPr="005A31AC" w:rsidRDefault="005A31AC" w:rsidP="001D4324">
            <w:pPr>
              <w:rPr>
                <w:rFonts w:eastAsiaTheme="minorEastAsia"/>
              </w:rPr>
            </w:pPr>
            <w:r>
              <w:rPr>
                <w:rFonts w:eastAsiaTheme="minorEastAsia"/>
              </w:rPr>
              <w:t>U</w:t>
            </w:r>
            <w:r w:rsidRPr="005A31AC">
              <w:rPr>
                <w:rFonts w:eastAsiaTheme="minorEastAsia"/>
                <w:vertAlign w:val="subscript"/>
              </w:rPr>
              <w:t>4</w:t>
            </w:r>
            <w:r>
              <w:rPr>
                <w:rFonts w:eastAsiaTheme="minorEastAsia"/>
              </w:rPr>
              <w:t xml:space="preserve"> = </w:t>
            </w:r>
            <w:proofErr w:type="spellStart"/>
            <w:r>
              <w:rPr>
                <w:rFonts w:eastAsiaTheme="minorEastAsia"/>
              </w:rPr>
              <w:t>U</w:t>
            </w:r>
            <w:r w:rsidRPr="005A31AC">
              <w:rPr>
                <w:rFonts w:eastAsiaTheme="minorEastAsia"/>
                <w:vertAlign w:val="subscript"/>
              </w:rPr>
              <w:t>g</w:t>
            </w:r>
            <w:proofErr w:type="spellEnd"/>
            <w:r>
              <w:rPr>
                <w:rFonts w:eastAsiaTheme="minorEastAsia"/>
              </w:rPr>
              <w:t>[V</w:t>
            </w:r>
            <w:r>
              <w:rPr>
                <w:rFonts w:eastAsiaTheme="minorEastAsia"/>
              </w:rPr>
              <w:t>]</w:t>
            </w:r>
          </w:p>
        </w:tc>
        <w:tc>
          <w:tcPr>
            <w:tcW w:w="1180" w:type="dxa"/>
          </w:tcPr>
          <w:p w:rsidR="005A31AC" w:rsidRDefault="005A31AC" w:rsidP="001D4324">
            <w:pPr>
              <w:rPr>
                <w:rFonts w:eastAsiaTheme="minorEastAsia"/>
              </w:rPr>
            </w:pPr>
            <w:r>
              <w:rPr>
                <w:rFonts w:eastAsiaTheme="minorEastAsia"/>
              </w:rPr>
              <w:t>2</w:t>
            </w:r>
          </w:p>
        </w:tc>
        <w:tc>
          <w:tcPr>
            <w:tcW w:w="1250" w:type="dxa"/>
          </w:tcPr>
          <w:p w:rsidR="005A31AC" w:rsidRDefault="005A31AC" w:rsidP="001D4324">
            <w:pPr>
              <w:rPr>
                <w:rFonts w:eastAsiaTheme="minorEastAsia"/>
              </w:rPr>
            </w:pPr>
            <w:r>
              <w:rPr>
                <w:rFonts w:eastAsiaTheme="minorEastAsia"/>
              </w:rPr>
              <w:t>1,6</w:t>
            </w:r>
          </w:p>
        </w:tc>
        <w:tc>
          <w:tcPr>
            <w:tcW w:w="1250" w:type="dxa"/>
          </w:tcPr>
          <w:p w:rsidR="005A31AC" w:rsidRDefault="005A31AC" w:rsidP="001D4324">
            <w:pPr>
              <w:rPr>
                <w:rFonts w:eastAsiaTheme="minorEastAsia"/>
              </w:rPr>
            </w:pPr>
            <w:r>
              <w:rPr>
                <w:rFonts w:eastAsiaTheme="minorEastAsia"/>
              </w:rPr>
              <w:t>1,3</w:t>
            </w:r>
          </w:p>
        </w:tc>
        <w:tc>
          <w:tcPr>
            <w:tcW w:w="1062" w:type="dxa"/>
          </w:tcPr>
          <w:p w:rsidR="005A31AC" w:rsidRDefault="005A31AC" w:rsidP="001D4324">
            <w:pPr>
              <w:rPr>
                <w:rFonts w:eastAsiaTheme="minorEastAsia"/>
              </w:rPr>
            </w:pPr>
            <w:r>
              <w:rPr>
                <w:rFonts w:eastAsiaTheme="minorEastAsia"/>
              </w:rPr>
              <w:t>0,95</w:t>
            </w:r>
          </w:p>
        </w:tc>
        <w:tc>
          <w:tcPr>
            <w:tcW w:w="1031" w:type="dxa"/>
          </w:tcPr>
          <w:p w:rsidR="005A31AC" w:rsidRDefault="00824AD5" w:rsidP="001D4324">
            <w:pPr>
              <w:rPr>
                <w:rFonts w:eastAsiaTheme="minorEastAsia"/>
              </w:rPr>
            </w:pPr>
            <w:r>
              <w:rPr>
                <w:rFonts w:eastAsiaTheme="minorEastAsia"/>
              </w:rPr>
              <w:t>0,68</w:t>
            </w:r>
          </w:p>
        </w:tc>
        <w:tc>
          <w:tcPr>
            <w:tcW w:w="1062" w:type="dxa"/>
          </w:tcPr>
          <w:p w:rsidR="005A31AC" w:rsidRDefault="005A31AC" w:rsidP="001D4324">
            <w:pPr>
              <w:rPr>
                <w:rFonts w:eastAsiaTheme="minorEastAsia"/>
              </w:rPr>
            </w:pPr>
            <w:r>
              <w:rPr>
                <w:rFonts w:eastAsiaTheme="minorEastAsia"/>
              </w:rPr>
              <w:t>0,3</w:t>
            </w:r>
          </w:p>
        </w:tc>
        <w:tc>
          <w:tcPr>
            <w:tcW w:w="1011" w:type="dxa"/>
          </w:tcPr>
          <w:p w:rsidR="005A31AC" w:rsidRDefault="005A31AC" w:rsidP="001D4324">
            <w:pPr>
              <w:rPr>
                <w:rFonts w:eastAsiaTheme="minorEastAsia"/>
              </w:rPr>
            </w:pPr>
            <w:r>
              <w:rPr>
                <w:rFonts w:eastAsiaTheme="minorEastAsia"/>
              </w:rPr>
              <w:t>0</w:t>
            </w:r>
          </w:p>
        </w:tc>
      </w:tr>
    </w:tbl>
    <w:p w:rsidR="005A31AC" w:rsidRDefault="005A31AC" w:rsidP="002F7F4E">
      <w:pPr>
        <w:rPr>
          <w:rFonts w:eastAsiaTheme="minorEastAsia"/>
          <w:vertAlign w:val="subscript"/>
        </w:rPr>
      </w:pPr>
    </w:p>
    <w:p w:rsidR="00824AD5" w:rsidRDefault="00824AD5" w:rsidP="002F7F4E">
      <w:pPr>
        <w:rPr>
          <w:rFonts w:eastAsiaTheme="minorEastAsia"/>
        </w:rPr>
      </w:pPr>
      <w:r>
        <w:rPr>
          <w:rFonts w:eastAsiaTheme="minorEastAsia"/>
        </w:rPr>
        <w:t>Annahme: Messreihe läuft von 3,3V zu 0</w:t>
      </w:r>
    </w:p>
    <w:p w:rsidR="00824AD5" w:rsidRPr="00824AD5" w:rsidRDefault="00824AD5" w:rsidP="002F7F4E">
      <w:pPr>
        <w:rPr>
          <w:rFonts w:eastAsiaTheme="minorEastAsia"/>
        </w:rPr>
      </w:pPr>
      <w:r>
        <w:rPr>
          <w:rFonts w:eastAsiaTheme="minorEastAsia"/>
        </w:rPr>
        <w:t>Zu erwarten ist, dass bei der Messung der Gesamtstrom bzw</w:t>
      </w:r>
      <w:r w:rsidR="001D7E1C">
        <w:rPr>
          <w:rFonts w:eastAsiaTheme="minorEastAsia"/>
        </w:rPr>
        <w:t>.</w:t>
      </w:r>
      <w:r>
        <w:rPr>
          <w:rFonts w:eastAsiaTheme="minorEastAsia"/>
        </w:rPr>
        <w:t xml:space="preserve"> I</w:t>
      </w:r>
      <w:r w:rsidRPr="00D6485F">
        <w:rPr>
          <w:rFonts w:eastAsiaTheme="minorEastAsia"/>
          <w:vertAlign w:val="subscript"/>
        </w:rPr>
        <w:t>4</w:t>
      </w:r>
      <w:r>
        <w:rPr>
          <w:rFonts w:eastAsiaTheme="minorEastAsia"/>
        </w:rPr>
        <w:t xml:space="preserve"> bei 3,3V maximal ist und dann proportional kleiner wird. Die Spannung über U</w:t>
      </w:r>
      <w:r w:rsidRPr="00D6485F">
        <w:rPr>
          <w:rFonts w:eastAsiaTheme="minorEastAsia"/>
          <w:vertAlign w:val="subscript"/>
        </w:rPr>
        <w:t>4</w:t>
      </w:r>
      <w:r>
        <w:rPr>
          <w:rFonts w:eastAsiaTheme="minorEastAsia"/>
        </w:rPr>
        <w:t xml:space="preserve"> entspricht wird ebenso proportional fallen.</w:t>
      </w:r>
    </w:p>
    <w:p w:rsidR="005A31AC" w:rsidRPr="005A32F8" w:rsidRDefault="006A5C19" w:rsidP="002F7F4E">
      <w:pPr>
        <w:rPr>
          <w:rFonts w:eastAsiaTheme="minorEastAsia"/>
        </w:rPr>
      </w:pPr>
      <w:r>
        <w:rPr>
          <w:rFonts w:eastAsiaTheme="minorEastAsia"/>
        </w:rPr>
        <w:t xml:space="preserve">Die Spannung wird sich zwischen der Parallelschaltung R123 und dem in Reihe verbundenen Widerstand R4 aufteilen. </w:t>
      </w:r>
    </w:p>
    <w:p w:rsidR="002F7F4E" w:rsidRPr="00552ECA" w:rsidRDefault="002F7F4E" w:rsidP="002F7F4E">
      <w:pPr>
        <w:rPr>
          <w:b/>
          <w:i/>
        </w:rPr>
      </w:pPr>
      <w:r w:rsidRPr="00552ECA">
        <w:rPr>
          <w:b/>
          <w:i/>
        </w:rPr>
        <w:t>Durchgeführte Messreihen (Protokollierung angehängt):</w:t>
      </w:r>
    </w:p>
    <w:p w:rsidR="002C1AF9" w:rsidRPr="002C1AF9" w:rsidRDefault="002C1AF9" w:rsidP="002F7F4E">
      <w:r>
        <w:t>Das Messprogramm gibt auf D0 eine Messspannung aus. Die Spannung wird an A0 gemessen. Da es sich bei D0 um ein PWM Signal handelt, wird die Messung von A0 jeweils über 100 Durchläufe gemittelt. Das Messprogramm startet bei der höchsten Messspannung und verringert diese nach jeder Messung bis die Messspannung 0 erreicht.</w:t>
      </w:r>
    </w:p>
    <w:p w:rsidR="000C040D" w:rsidRDefault="000C040D" w:rsidP="002F7F4E">
      <w:r>
        <w:t>Messung U4: D0 gibt eine, beginnend bei 3,3V, konstant fallende Mess</w:t>
      </w:r>
      <w:r w:rsidR="002C1AF9">
        <w:t>s</w:t>
      </w:r>
      <w:r>
        <w:t>pannung an R13 aus. Die globale Masse wird hinter R4 verbunden. A0 wird zwischen R2 und R4 platziert um den Spannungsabfall über R4 zu messen.</w:t>
      </w:r>
    </w:p>
    <w:p w:rsidR="00D974C7" w:rsidRDefault="000C040D" w:rsidP="002F7F4E">
      <w:r>
        <w:t>Messung U123: A0 Bleibt unverändert zwischen R2 und R4. Für die Messung der Parallelschaltung R123 muss D0 und GND vertauscht werden, da A0 immer gegen Masse misst.</w:t>
      </w:r>
    </w:p>
    <w:p w:rsidR="00D974C7" w:rsidRPr="000C040D" w:rsidRDefault="00D974C7" w:rsidP="002F7F4E">
      <w:r>
        <w:t xml:space="preserve">Die Messergebnisse wurden in 2 einzelnen Messungen durchgeführt und in Excel importiert. </w:t>
      </w:r>
      <w:proofErr w:type="spellStart"/>
      <w:r>
        <w:t>U</w:t>
      </w:r>
      <w:r w:rsidRPr="00D974C7">
        <w:rPr>
          <w:vertAlign w:val="subscript"/>
        </w:rPr>
        <w:t>g</w:t>
      </w:r>
      <w:proofErr w:type="spellEnd"/>
      <w:r>
        <w:t xml:space="preserve"> wurde nachträglich berechnet.</w:t>
      </w:r>
    </w:p>
    <w:p w:rsidR="00D974C7" w:rsidRPr="00D974C7" w:rsidRDefault="001D7E1C" w:rsidP="002F7F4E">
      <w:r>
        <w:rPr>
          <w:noProof/>
          <w:lang w:eastAsia="de-DE"/>
        </w:rPr>
        <w:lastRenderedPageBreak/>
        <w:drawing>
          <wp:inline distT="0" distB="0" distL="0" distR="0" wp14:anchorId="196B62C7" wp14:editId="3DD66206">
            <wp:extent cx="5849620" cy="2842895"/>
            <wp:effectExtent l="0" t="0" r="17780" b="1460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7F4E" w:rsidRPr="00552ECA" w:rsidRDefault="002F7F4E" w:rsidP="002F7F4E">
      <w:pPr>
        <w:rPr>
          <w:b/>
          <w:i/>
        </w:rPr>
      </w:pPr>
      <w:r w:rsidRPr="00552ECA">
        <w:rPr>
          <w:b/>
          <w:i/>
        </w:rPr>
        <w:t>Zusammenfassung Messergebnisse:</w:t>
      </w:r>
    </w:p>
    <w:p w:rsidR="002F7F4E" w:rsidRDefault="00D974C7" w:rsidP="002F7F4E">
      <w:r>
        <w:t>Wie zu erwarten war</w:t>
      </w:r>
      <w:r w:rsidR="00AC3CC4">
        <w:t>,</w:t>
      </w:r>
      <w:r>
        <w:t xml:space="preserve"> </w:t>
      </w:r>
      <w:r w:rsidR="00AC3CC4">
        <w:t xml:space="preserve">fallen die Spannungen proportional </w:t>
      </w:r>
      <w:r>
        <w:t>zur fallenden Messspannung.</w:t>
      </w:r>
      <w:r w:rsidR="006A5C19">
        <w:t xml:space="preserve"> </w:t>
      </w:r>
    </w:p>
    <w:p w:rsidR="00AC3CC4" w:rsidRPr="002F7F4E" w:rsidRDefault="00AC3CC4" w:rsidP="002F7F4E">
      <w:r>
        <w:t>Die gesamte Messspannung teilt sich auf U4 und U123 auf. Die Spannung U123 ist etwa die Hälfte von U4.</w:t>
      </w:r>
      <w:r w:rsidR="002C1AF9">
        <w:t xml:space="preserve"> D</w:t>
      </w:r>
      <w:r w:rsidR="002C1AF9">
        <w:t xml:space="preserve">a es sich nur um ohmsche Widerstände handelt, </w:t>
      </w:r>
      <w:r w:rsidR="002C1AF9">
        <w:t>lässt das darauf</w:t>
      </w:r>
      <w:r w:rsidR="002C1AF9">
        <w:t xml:space="preserve"> schließen das R4 doppelt so groß ist wie der Gesamtwiderstand der Parallelschaltung R123.</w:t>
      </w:r>
    </w:p>
    <w:p w:rsidR="00504B6C" w:rsidRPr="00552ECA" w:rsidRDefault="002F7F4E" w:rsidP="002F7F4E">
      <w:pPr>
        <w:rPr>
          <w:b/>
          <w:i/>
        </w:rPr>
      </w:pPr>
      <w:r w:rsidRPr="00552ECA">
        <w:rPr>
          <w:b/>
          <w:i/>
        </w:rPr>
        <w:t>Bewertung der Messergebnisse und der Messreihe:</w:t>
      </w:r>
    </w:p>
    <w:p w:rsidR="00AC3CC4" w:rsidRPr="0042727C" w:rsidRDefault="0042727C" w:rsidP="002F7F4E">
      <w:r>
        <w:t>Die Messergebnisse entsprechen q</w:t>
      </w:r>
      <w:r w:rsidR="00F30A15">
        <w:t xml:space="preserve">ualitativ den erwarteten Werten. Durch die PWM-Messspannung ergeben sich zwangsläufig Toleranzen bei der Messung. Eine nachträgliche Berechnung von </w:t>
      </w:r>
      <w:proofErr w:type="spellStart"/>
      <w:r w:rsidR="00F30A15">
        <w:t>U</w:t>
      </w:r>
      <w:r w:rsidR="00F30A15" w:rsidRPr="00F30A15">
        <w:rPr>
          <w:vertAlign w:val="subscript"/>
        </w:rPr>
        <w:t>g</w:t>
      </w:r>
      <w:proofErr w:type="spellEnd"/>
      <w:r w:rsidR="00F30A15">
        <w:t xml:space="preserve"> zeigt auch, dass </w:t>
      </w:r>
      <w:proofErr w:type="spellStart"/>
      <w:r w:rsidR="00F30A15">
        <w:t>U</w:t>
      </w:r>
      <w:r w:rsidR="00F30A15" w:rsidRPr="00F30A15">
        <w:rPr>
          <w:vertAlign w:val="subscript"/>
        </w:rPr>
        <w:t>g</w:t>
      </w:r>
      <w:proofErr w:type="spellEnd"/>
      <w:r w:rsidR="00F30A15" w:rsidRPr="00F30A15">
        <w:t xml:space="preserve"> </w:t>
      </w:r>
      <w:r w:rsidR="00F30A15">
        <w:t>nicht bei 3,3V gestartet ist, sondern bei 3V, was zu einer Abweichung der vorher berechneten Werten führt. Für qualitative Aussagen eignet sich diese Art der Messung aber gut, da hier vor allem die Proportionen interessant sind.</w:t>
      </w:r>
    </w:p>
    <w:sectPr w:rsidR="00AC3CC4" w:rsidRPr="0042727C" w:rsidSect="00862504">
      <w:headerReference w:type="default" r:id="rId10"/>
      <w:footerReference w:type="default" r:id="rId11"/>
      <w:pgSz w:w="11906" w:h="16838"/>
      <w:pgMar w:top="851" w:right="127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0ED" w:rsidRDefault="009560ED" w:rsidP="00AB44B1">
      <w:pPr>
        <w:spacing w:after="0" w:line="240" w:lineRule="auto"/>
      </w:pPr>
      <w:r>
        <w:separator/>
      </w:r>
    </w:p>
  </w:endnote>
  <w:endnote w:type="continuationSeparator" w:id="0">
    <w:p w:rsidR="009560ED" w:rsidRDefault="009560ED"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642" w:rsidRPr="00C85FE6" w:rsidRDefault="009560ED" w:rsidP="00504B6C">
    <w:pPr>
      <w:pStyle w:val="Fuzeile"/>
      <w:tabs>
        <w:tab w:val="clear" w:pos="2014"/>
        <w:tab w:val="center" w:pos="4111"/>
      </w:tabs>
      <w:rPr>
        <w:rFonts w:cs="Arial"/>
      </w:rPr>
    </w:pPr>
    <w:r>
      <w:rPr>
        <w:rFonts w:cs="Aria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0pt;margin-top:781.3pt;width:460.5pt;height:21.45pt;z-index:-251658752;mso-position-horizontal-relative:page;mso-position-vertical-relative:page">
          <v:imagedata r:id="rId1" o:title=""/>
          <w10:wrap anchorx="page" anchory="page"/>
        </v:shape>
        <o:OLEObject Type="Embed" ProgID="Visio.Drawing.11" ShapeID="_x0000_s2049" DrawAspect="Content" ObjectID="_1585046080" r:id="rId2"/>
      </w:object>
    </w:r>
    <w:r w:rsidR="00D652C7" w:rsidRPr="00C85FE6">
      <w:rPr>
        <w:rFonts w:cs="Arial"/>
      </w:rPr>
      <w:t>Schleyer</w:t>
    </w:r>
    <w:r w:rsidR="00504B6C">
      <w:rPr>
        <w:rFonts w:cs="Arial"/>
      </w:rPr>
      <w:tab/>
      <w:t xml:space="preserve">Version </w:t>
    </w:r>
    <w:r w:rsidR="00504B6C">
      <w:fldChar w:fldCharType="begin"/>
    </w:r>
    <w:r w:rsidR="00504B6C">
      <w:instrText xml:space="preserve"> SAVEDATE  \@ "yyyyMMdd" </w:instrText>
    </w:r>
    <w:r w:rsidR="00504B6C">
      <w:fldChar w:fldCharType="separate"/>
    </w:r>
    <w:r w:rsidR="00431B4C">
      <w:t>20180412</w:t>
    </w:r>
    <w:r w:rsidR="00504B6C">
      <w:fldChar w:fldCharType="end"/>
    </w:r>
    <w:r w:rsidR="00504B6C">
      <w:tab/>
    </w:r>
    <w:r w:rsidR="00504B6C">
      <w:rPr>
        <w:rFonts w:cs="Arial"/>
      </w:rPr>
      <w:fldChar w:fldCharType="begin"/>
    </w:r>
    <w:r w:rsidR="00504B6C">
      <w:rPr>
        <w:rFonts w:cs="Arial"/>
      </w:rPr>
      <w:instrText xml:space="preserve"> FILENAME   \* MERGEFORMAT </w:instrText>
    </w:r>
    <w:r w:rsidR="00504B6C">
      <w:rPr>
        <w:rFonts w:cs="Arial"/>
      </w:rPr>
      <w:fldChar w:fldCharType="separate"/>
    </w:r>
    <w:r w:rsidR="00431B4C">
      <w:rPr>
        <w:rFonts w:cs="Arial"/>
      </w:rPr>
      <w:t>Laborprotokoll.docx</w:t>
    </w:r>
    <w:r w:rsidR="00504B6C">
      <w:rPr>
        <w:rFonts w:cs="Aria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0ED" w:rsidRDefault="009560ED" w:rsidP="00AB44B1">
      <w:pPr>
        <w:spacing w:after="0" w:line="240" w:lineRule="auto"/>
      </w:pPr>
      <w:r>
        <w:separator/>
      </w:r>
    </w:p>
  </w:footnote>
  <w:footnote w:type="continuationSeparator" w:id="0">
    <w:p w:rsidR="009560ED" w:rsidRDefault="009560ED" w:rsidP="00AB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0"/>
      <w:gridCol w:w="1695"/>
      <w:gridCol w:w="1695"/>
      <w:gridCol w:w="1272"/>
      <w:gridCol w:w="1162"/>
    </w:tblGrid>
    <w:tr w:rsidR="002F7F4E" w:rsidRPr="00C85FE6" w:rsidTr="002F7F4E">
      <w:trPr>
        <w:trHeight w:val="848"/>
      </w:trPr>
      <w:tc>
        <w:tcPr>
          <w:tcW w:w="33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2F7F4E" w:rsidRPr="00D21C04" w:rsidRDefault="002F7F4E" w:rsidP="002F7F4E">
          <w:pPr>
            <w:pStyle w:val="Kopfzeileberschrift"/>
          </w:pPr>
          <w:r>
            <w:t>ITS</w:t>
          </w:r>
        </w:p>
        <w:p w:rsidR="002F7F4E" w:rsidRPr="00D21C04" w:rsidRDefault="002F7F4E" w:rsidP="002F7F4E">
          <w:pPr>
            <w:pStyle w:val="KopfzeileUntertitel"/>
          </w:pPr>
          <w:r>
            <w:t>Lernfeld 4: Einfache IT-Systeme</w:t>
          </w:r>
        </w:p>
      </w:tc>
      <w:tc>
        <w:tcPr>
          <w:tcW w:w="339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2F7F4E" w:rsidRDefault="00D828B7" w:rsidP="002F7F4E">
          <w:pPr>
            <w:pStyle w:val="Kopfzeileberschrift"/>
          </w:pPr>
          <w:r>
            <w:t>Widerstandsnetzwerke</w:t>
          </w:r>
        </w:p>
        <w:p w:rsidR="002F7F4E" w:rsidRPr="00D21C04" w:rsidRDefault="00D828B7" w:rsidP="002F7F4E">
          <w:pPr>
            <w:pStyle w:val="KopfzeileUntertitel"/>
          </w:pPr>
          <w:r>
            <w:t>Widerstandsnetzwerke berechnen</w:t>
          </w:r>
          <w:r w:rsidR="002F7F4E">
            <w:t xml:space="preserve"> </w:t>
          </w:r>
        </w:p>
      </w:tc>
      <w:tc>
        <w:tcPr>
          <w:tcW w:w="243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2F7F4E" w:rsidRPr="00C85FE6" w:rsidRDefault="002F7F4E" w:rsidP="002F7F4E">
          <w:pPr>
            <w:pStyle w:val="Kopfzeile"/>
            <w:tabs>
              <w:tab w:val="clear" w:pos="9072"/>
              <w:tab w:val="right" w:pos="9214"/>
            </w:tabs>
            <w:rPr>
              <w:rFonts w:ascii="Arial" w:hAnsi="Arial" w:cs="Arial"/>
              <w:sz w:val="2"/>
              <w:szCs w:val="2"/>
            </w:rPr>
          </w:pPr>
          <w:r w:rsidRPr="00C85FE6">
            <w:rPr>
              <w:rFonts w:ascii="Arial" w:hAnsi="Arial" w:cs="Arial"/>
            </w:rPr>
            <w:object w:dxaOrig="7663" w:dyaOrig="2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pt">
                <v:imagedata r:id="rId1" o:title=""/>
              </v:shape>
              <o:OLEObject Type="Embed" ProgID="Visio.Drawing.11" ShapeID="_x0000_i1025" DrawAspect="Content" ObjectID="_1585046079" r:id="rId2"/>
            </w:object>
          </w:r>
        </w:p>
      </w:tc>
    </w:tr>
    <w:tr w:rsidR="004410B5" w:rsidRPr="00C85FE6" w:rsidTr="002F7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7"/>
      </w:trPr>
      <w:tc>
        <w:tcPr>
          <w:tcW w:w="339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rsidR="004410B5" w:rsidRPr="00C85FE6" w:rsidRDefault="004410B5" w:rsidP="0039103E">
          <w:pPr>
            <w:pStyle w:val="Kopfzeile"/>
            <w:rPr>
              <w:rFonts w:ascii="Arial" w:hAnsi="Arial" w:cs="Arial"/>
              <w:sz w:val="15"/>
              <w:szCs w:val="15"/>
            </w:rPr>
          </w:pPr>
        </w:p>
      </w:tc>
      <w:tc>
        <w:tcPr>
          <w:tcW w:w="1695" w:type="dxa"/>
          <w:tcBorders>
            <w:top w:val="single" w:sz="4" w:space="0" w:color="D9D9D9" w:themeColor="background1" w:themeShade="D9"/>
            <w:left w:val="single" w:sz="4" w:space="0" w:color="D9D9D9" w:themeColor="background1" w:themeShade="D9"/>
            <w:bottom w:val="nil"/>
            <w:right w:val="nil"/>
          </w:tcBorders>
        </w:tcPr>
        <w:p w:rsidR="004410B5" w:rsidRPr="00C85FE6" w:rsidRDefault="004410B5" w:rsidP="0039103E">
          <w:pPr>
            <w:pStyle w:val="Kopfzeile"/>
            <w:rPr>
              <w:rFonts w:ascii="Arial" w:hAnsi="Arial" w:cs="Arial"/>
              <w:sz w:val="15"/>
              <w:szCs w:val="15"/>
            </w:rPr>
          </w:pPr>
        </w:p>
      </w:tc>
      <w:tc>
        <w:tcPr>
          <w:tcW w:w="1695" w:type="dxa"/>
          <w:tcBorders>
            <w:top w:val="single" w:sz="4" w:space="0" w:color="D9D9D9" w:themeColor="background1" w:themeShade="D9"/>
            <w:left w:val="nil"/>
            <w:bottom w:val="nil"/>
            <w:right w:val="single" w:sz="4" w:space="0" w:color="D9D9D9" w:themeColor="background1" w:themeShade="D9"/>
          </w:tcBorders>
        </w:tcPr>
        <w:p w:rsidR="004410B5" w:rsidRPr="00C85FE6" w:rsidRDefault="004410B5" w:rsidP="0039103E">
          <w:pPr>
            <w:pStyle w:val="Kopfzeile"/>
            <w:rPr>
              <w:rFonts w:ascii="Arial" w:hAnsi="Arial" w:cs="Arial"/>
              <w:sz w:val="15"/>
              <w:szCs w:val="15"/>
            </w:rPr>
          </w:pPr>
        </w:p>
      </w:tc>
      <w:tc>
        <w:tcPr>
          <w:tcW w:w="1272" w:type="dxa"/>
          <w:tcBorders>
            <w:top w:val="single" w:sz="4" w:space="0" w:color="D9D9D9" w:themeColor="background1" w:themeShade="D9"/>
            <w:left w:val="single" w:sz="4" w:space="0" w:color="D9D9D9" w:themeColor="background1" w:themeShade="D9"/>
            <w:bottom w:val="nil"/>
            <w:right w:val="nil"/>
          </w:tcBorders>
        </w:tcPr>
        <w:p w:rsidR="004410B5" w:rsidRPr="00C85FE6" w:rsidRDefault="004410B5" w:rsidP="0039103E">
          <w:pPr>
            <w:pStyle w:val="Kopfzeile"/>
            <w:rPr>
              <w:rFonts w:ascii="Arial" w:hAnsi="Arial" w:cs="Arial"/>
              <w:sz w:val="15"/>
              <w:szCs w:val="15"/>
            </w:rPr>
          </w:pPr>
        </w:p>
      </w:tc>
      <w:tc>
        <w:tcPr>
          <w:tcW w:w="1162" w:type="dxa"/>
          <w:tcBorders>
            <w:top w:val="single" w:sz="4" w:space="0" w:color="D9D9D9" w:themeColor="background1" w:themeShade="D9"/>
            <w:left w:val="nil"/>
            <w:bottom w:val="nil"/>
            <w:right w:val="single" w:sz="4" w:space="0" w:color="D9D9D9" w:themeColor="background1" w:themeShade="D9"/>
          </w:tcBorders>
        </w:tcPr>
        <w:p w:rsidR="004410B5" w:rsidRPr="00C85FE6" w:rsidRDefault="004410B5" w:rsidP="0039103E">
          <w:pPr>
            <w:pStyle w:val="Kopfzeile"/>
            <w:rPr>
              <w:rFonts w:ascii="Arial" w:hAnsi="Arial" w:cs="Arial"/>
              <w:sz w:val="15"/>
              <w:szCs w:val="15"/>
            </w:rPr>
          </w:pPr>
        </w:p>
      </w:tc>
    </w:tr>
    <w:tr w:rsidR="00D60644" w:rsidRPr="00C85FE6" w:rsidTr="002F7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0"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D21C04">
          <w:pPr>
            <w:pStyle w:val="KopfzeileInfos"/>
          </w:pPr>
          <w:r w:rsidRPr="00C85FE6">
            <w:t>Name:</w:t>
          </w:r>
          <w:r w:rsidR="00D828B7">
            <w:t xml:space="preserve"> </w:t>
          </w:r>
          <w:proofErr w:type="spellStart"/>
          <w:r w:rsidR="00D828B7">
            <w:t>Heimbrodt</w:t>
          </w:r>
          <w:proofErr w:type="spellEnd"/>
          <w:r w:rsidR="00D828B7">
            <w:t xml:space="preserve"> Marvin</w:t>
          </w:r>
        </w:p>
      </w:tc>
      <w:tc>
        <w:tcPr>
          <w:tcW w:w="169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504B6C">
          <w:pPr>
            <w:pStyle w:val="KopfzeileInfos"/>
          </w:pPr>
          <w:r w:rsidRPr="00C85FE6">
            <w:t>Datum:</w:t>
          </w:r>
          <w:r w:rsidR="00EC4925" w:rsidRPr="00C85FE6">
            <w:t xml:space="preserve"> </w:t>
          </w:r>
        </w:p>
      </w:tc>
      <w:tc>
        <w:tcPr>
          <w:tcW w:w="169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D21C04">
          <w:pPr>
            <w:pStyle w:val="KopfzeileInfos"/>
          </w:pPr>
          <w:r w:rsidRPr="00C85FE6">
            <w:t>Klasse:</w:t>
          </w:r>
          <w:r w:rsidR="00D828B7">
            <w:t xml:space="preserve"> FSC81</w:t>
          </w:r>
        </w:p>
      </w:tc>
      <w:tc>
        <w:tcPr>
          <w:tcW w:w="127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D21C04">
          <w:pPr>
            <w:pStyle w:val="KopfzeileInfos"/>
          </w:pPr>
          <w:r w:rsidRPr="00C85FE6">
            <w:t>Blatt Nr.:</w:t>
          </w:r>
          <w:r w:rsidR="008C60E0" w:rsidRPr="00C85FE6">
            <w:t xml:space="preserve"> </w:t>
          </w:r>
          <w:r w:rsidR="00EC4925" w:rsidRPr="00C85FE6">
            <w:fldChar w:fldCharType="begin"/>
          </w:r>
          <w:r w:rsidR="00EC4925" w:rsidRPr="00C85FE6">
            <w:instrText xml:space="preserve"> PAGE   \* MERGEFORMAT </w:instrText>
          </w:r>
          <w:r w:rsidR="00EC4925" w:rsidRPr="00C85FE6">
            <w:fldChar w:fldCharType="separate"/>
          </w:r>
          <w:r w:rsidR="00431B4C">
            <w:rPr>
              <w:noProof/>
            </w:rPr>
            <w:t>3</w:t>
          </w:r>
          <w:r w:rsidR="00EC4925" w:rsidRPr="00C85FE6">
            <w:fldChar w:fldCharType="end"/>
          </w:r>
          <w:r w:rsidR="008C60E0" w:rsidRPr="00C85FE6">
            <w:t>/</w:t>
          </w:r>
          <w:fldSimple w:instr=" NUMPAGES   \* MERGEFORMAT ">
            <w:r w:rsidR="00431B4C">
              <w:rPr>
                <w:noProof/>
              </w:rPr>
              <w:t>3</w:t>
            </w:r>
          </w:fldSimple>
        </w:p>
      </w:tc>
      <w:tc>
        <w:tcPr>
          <w:tcW w:w="116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D21C04">
          <w:pPr>
            <w:pStyle w:val="KopfzeileInfos"/>
          </w:pPr>
          <w:r w:rsidRPr="00C85FE6">
            <w:t>Lfd. Nr.:</w:t>
          </w:r>
        </w:p>
      </w:tc>
    </w:tr>
  </w:tbl>
  <w:p w:rsidR="0039103E" w:rsidRPr="00C85FE6"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F7CF6"/>
    <w:multiLevelType w:val="hybridMultilevel"/>
    <w:tmpl w:val="5DBEDEA8"/>
    <w:lvl w:ilvl="0" w:tplc="0052B2F2">
      <w:start w:val="1"/>
      <w:numFmt w:val="bullet"/>
      <w:pStyle w:val="Listenabsatz"/>
      <w:lvlText w:val=""/>
      <w:lvlJc w:val="left"/>
      <w:pPr>
        <w:ind w:left="1400" w:hanging="360"/>
      </w:pPr>
      <w:rPr>
        <w:rFonts w:ascii="Wingdings" w:hAnsi="Wingdings" w:hint="default"/>
      </w:rPr>
    </w:lvl>
    <w:lvl w:ilvl="1" w:tplc="04070003" w:tentative="1">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attachedTemplate r:id="rId1"/>
  <w:defaultTabStop w:val="709"/>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4E"/>
    <w:rsid w:val="00004904"/>
    <w:rsid w:val="000129F7"/>
    <w:rsid w:val="00054F05"/>
    <w:rsid w:val="0007299C"/>
    <w:rsid w:val="000927B5"/>
    <w:rsid w:val="000C040D"/>
    <w:rsid w:val="000D1650"/>
    <w:rsid w:val="000F119A"/>
    <w:rsid w:val="000F4703"/>
    <w:rsid w:val="0012014E"/>
    <w:rsid w:val="001227AC"/>
    <w:rsid w:val="00126AA9"/>
    <w:rsid w:val="00135C8C"/>
    <w:rsid w:val="00136E44"/>
    <w:rsid w:val="00141FFB"/>
    <w:rsid w:val="001562AF"/>
    <w:rsid w:val="00177CDA"/>
    <w:rsid w:val="00191848"/>
    <w:rsid w:val="001A4D16"/>
    <w:rsid w:val="001D7E1C"/>
    <w:rsid w:val="001F1F16"/>
    <w:rsid w:val="00211610"/>
    <w:rsid w:val="0021676E"/>
    <w:rsid w:val="00242806"/>
    <w:rsid w:val="00287A53"/>
    <w:rsid w:val="00290DF9"/>
    <w:rsid w:val="00292CCB"/>
    <w:rsid w:val="002A4DDA"/>
    <w:rsid w:val="002C1AF9"/>
    <w:rsid w:val="002C5BCE"/>
    <w:rsid w:val="002F440D"/>
    <w:rsid w:val="002F7F4E"/>
    <w:rsid w:val="00337F18"/>
    <w:rsid w:val="00346705"/>
    <w:rsid w:val="003526EC"/>
    <w:rsid w:val="003529A9"/>
    <w:rsid w:val="003760C3"/>
    <w:rsid w:val="0039103E"/>
    <w:rsid w:val="003D6C8E"/>
    <w:rsid w:val="003E009F"/>
    <w:rsid w:val="003E0291"/>
    <w:rsid w:val="003E5795"/>
    <w:rsid w:val="00405506"/>
    <w:rsid w:val="00406642"/>
    <w:rsid w:val="00417990"/>
    <w:rsid w:val="0042727C"/>
    <w:rsid w:val="00431B4C"/>
    <w:rsid w:val="004410B5"/>
    <w:rsid w:val="004470BA"/>
    <w:rsid w:val="00473F8A"/>
    <w:rsid w:val="00491A88"/>
    <w:rsid w:val="004B21BB"/>
    <w:rsid w:val="004C00FD"/>
    <w:rsid w:val="00504B6C"/>
    <w:rsid w:val="005055B3"/>
    <w:rsid w:val="005143CD"/>
    <w:rsid w:val="00521D7D"/>
    <w:rsid w:val="00533DCA"/>
    <w:rsid w:val="005505BB"/>
    <w:rsid w:val="00552ECA"/>
    <w:rsid w:val="00555E46"/>
    <w:rsid w:val="0056537F"/>
    <w:rsid w:val="00565687"/>
    <w:rsid w:val="00567CE6"/>
    <w:rsid w:val="00574964"/>
    <w:rsid w:val="005754CC"/>
    <w:rsid w:val="00582C89"/>
    <w:rsid w:val="00591FC0"/>
    <w:rsid w:val="00594DA8"/>
    <w:rsid w:val="005A31AC"/>
    <w:rsid w:val="005A32F8"/>
    <w:rsid w:val="005C4E50"/>
    <w:rsid w:val="005C5DAE"/>
    <w:rsid w:val="005D155E"/>
    <w:rsid w:val="005F65AA"/>
    <w:rsid w:val="00636170"/>
    <w:rsid w:val="006407D6"/>
    <w:rsid w:val="00650DBD"/>
    <w:rsid w:val="0065296E"/>
    <w:rsid w:val="00677D1E"/>
    <w:rsid w:val="00692464"/>
    <w:rsid w:val="00693A01"/>
    <w:rsid w:val="006A0EE4"/>
    <w:rsid w:val="006A3245"/>
    <w:rsid w:val="006A5C19"/>
    <w:rsid w:val="006B2953"/>
    <w:rsid w:val="006B68A9"/>
    <w:rsid w:val="006C0630"/>
    <w:rsid w:val="006C3051"/>
    <w:rsid w:val="006C6949"/>
    <w:rsid w:val="006D628D"/>
    <w:rsid w:val="006E606E"/>
    <w:rsid w:val="006F47AF"/>
    <w:rsid w:val="006F65BE"/>
    <w:rsid w:val="00724280"/>
    <w:rsid w:val="00724833"/>
    <w:rsid w:val="00725861"/>
    <w:rsid w:val="00730983"/>
    <w:rsid w:val="007310E8"/>
    <w:rsid w:val="00733B0E"/>
    <w:rsid w:val="007364D8"/>
    <w:rsid w:val="00760EEB"/>
    <w:rsid w:val="007727DA"/>
    <w:rsid w:val="00783868"/>
    <w:rsid w:val="007C4BC1"/>
    <w:rsid w:val="007C56DA"/>
    <w:rsid w:val="007C5718"/>
    <w:rsid w:val="007D123D"/>
    <w:rsid w:val="007D3C1E"/>
    <w:rsid w:val="007D3E4D"/>
    <w:rsid w:val="007F080C"/>
    <w:rsid w:val="007F0FE4"/>
    <w:rsid w:val="00804801"/>
    <w:rsid w:val="00824AD5"/>
    <w:rsid w:val="0082575D"/>
    <w:rsid w:val="00834F1B"/>
    <w:rsid w:val="00857CAC"/>
    <w:rsid w:val="00862504"/>
    <w:rsid w:val="00870D2D"/>
    <w:rsid w:val="00874BD9"/>
    <w:rsid w:val="008B3966"/>
    <w:rsid w:val="008C60E0"/>
    <w:rsid w:val="008D086B"/>
    <w:rsid w:val="008D6074"/>
    <w:rsid w:val="00905B15"/>
    <w:rsid w:val="0090693D"/>
    <w:rsid w:val="009259E3"/>
    <w:rsid w:val="0093688F"/>
    <w:rsid w:val="00942238"/>
    <w:rsid w:val="00950178"/>
    <w:rsid w:val="009560ED"/>
    <w:rsid w:val="0097122B"/>
    <w:rsid w:val="0097164B"/>
    <w:rsid w:val="00982214"/>
    <w:rsid w:val="00993E55"/>
    <w:rsid w:val="009A1985"/>
    <w:rsid w:val="009C2F21"/>
    <w:rsid w:val="009C33AA"/>
    <w:rsid w:val="009F0FE1"/>
    <w:rsid w:val="009F390A"/>
    <w:rsid w:val="00A16DE4"/>
    <w:rsid w:val="00A17372"/>
    <w:rsid w:val="00A548CC"/>
    <w:rsid w:val="00A85892"/>
    <w:rsid w:val="00A9520A"/>
    <w:rsid w:val="00AB44B1"/>
    <w:rsid w:val="00AC07CA"/>
    <w:rsid w:val="00AC3CC4"/>
    <w:rsid w:val="00AD0A98"/>
    <w:rsid w:val="00AD0E1A"/>
    <w:rsid w:val="00AD6D38"/>
    <w:rsid w:val="00B04B66"/>
    <w:rsid w:val="00B11428"/>
    <w:rsid w:val="00B802AF"/>
    <w:rsid w:val="00BA5403"/>
    <w:rsid w:val="00BC215B"/>
    <w:rsid w:val="00BD4B1B"/>
    <w:rsid w:val="00BD7390"/>
    <w:rsid w:val="00BE089D"/>
    <w:rsid w:val="00BF26EB"/>
    <w:rsid w:val="00C0170E"/>
    <w:rsid w:val="00C036A5"/>
    <w:rsid w:val="00C30020"/>
    <w:rsid w:val="00C41027"/>
    <w:rsid w:val="00C45B43"/>
    <w:rsid w:val="00C67A3C"/>
    <w:rsid w:val="00C83AC2"/>
    <w:rsid w:val="00C85FE6"/>
    <w:rsid w:val="00C957AE"/>
    <w:rsid w:val="00CA3C61"/>
    <w:rsid w:val="00CC08C6"/>
    <w:rsid w:val="00CC5B4B"/>
    <w:rsid w:val="00CC5BD8"/>
    <w:rsid w:val="00CE0D23"/>
    <w:rsid w:val="00CE20F1"/>
    <w:rsid w:val="00CF2DDF"/>
    <w:rsid w:val="00D21C04"/>
    <w:rsid w:val="00D21D76"/>
    <w:rsid w:val="00D41785"/>
    <w:rsid w:val="00D60644"/>
    <w:rsid w:val="00D63D50"/>
    <w:rsid w:val="00D6485F"/>
    <w:rsid w:val="00D652C7"/>
    <w:rsid w:val="00D70AAD"/>
    <w:rsid w:val="00D81292"/>
    <w:rsid w:val="00D812F8"/>
    <w:rsid w:val="00D828B7"/>
    <w:rsid w:val="00D9657C"/>
    <w:rsid w:val="00D96CA5"/>
    <w:rsid w:val="00D974C7"/>
    <w:rsid w:val="00DB55CB"/>
    <w:rsid w:val="00DD23F3"/>
    <w:rsid w:val="00DD3F16"/>
    <w:rsid w:val="00DE10EC"/>
    <w:rsid w:val="00DE1AE1"/>
    <w:rsid w:val="00DF4DCF"/>
    <w:rsid w:val="00E13698"/>
    <w:rsid w:val="00E1407D"/>
    <w:rsid w:val="00E42F58"/>
    <w:rsid w:val="00E655C6"/>
    <w:rsid w:val="00E71397"/>
    <w:rsid w:val="00E76AB2"/>
    <w:rsid w:val="00E833D7"/>
    <w:rsid w:val="00E94DC4"/>
    <w:rsid w:val="00EB0639"/>
    <w:rsid w:val="00EC4925"/>
    <w:rsid w:val="00ED1C9A"/>
    <w:rsid w:val="00EE0546"/>
    <w:rsid w:val="00EE328E"/>
    <w:rsid w:val="00EF2A4D"/>
    <w:rsid w:val="00F073A1"/>
    <w:rsid w:val="00F07773"/>
    <w:rsid w:val="00F20AEE"/>
    <w:rsid w:val="00F30A15"/>
    <w:rsid w:val="00F40F2D"/>
    <w:rsid w:val="00F412E3"/>
    <w:rsid w:val="00F42994"/>
    <w:rsid w:val="00FB72C7"/>
    <w:rsid w:val="00FB73F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F3385E"/>
  <w15:docId w15:val="{2DA808E0-969D-43EF-B737-41A3D8C4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5FE6"/>
  </w:style>
  <w:style w:type="paragraph" w:styleId="berschrift1">
    <w:name w:val="heading 1"/>
    <w:basedOn w:val="Standard"/>
    <w:next w:val="Standard"/>
    <w:link w:val="berschrift1Zchn"/>
    <w:uiPriority w:val="9"/>
    <w:qFormat/>
    <w:rsid w:val="0056537F"/>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B8CCE4" w:themeFill="accent1" w:themeFillTint="66"/>
      <w:tabs>
        <w:tab w:val="center" w:pos="4607"/>
        <w:tab w:val="right" w:pos="9214"/>
      </w:tabs>
      <w:outlineLvl w:val="0"/>
    </w:pPr>
    <w:rPr>
      <w:rFonts w:ascii="Calibri" w:hAnsi="Calibri" w:cs="Arial"/>
      <w:b/>
      <w:caps/>
      <w:color w:val="0F243E" w:themeColor="text2" w:themeShade="80"/>
      <w:sz w:val="24"/>
    </w:rPr>
  </w:style>
  <w:style w:type="paragraph" w:styleId="berschrift2">
    <w:name w:val="heading 2"/>
    <w:basedOn w:val="berschriftAufgabe"/>
    <w:next w:val="Standard"/>
    <w:link w:val="berschrift2Zchn"/>
    <w:uiPriority w:val="9"/>
    <w:unhideWhenUsed/>
    <w:qFormat/>
    <w:rsid w:val="0056537F"/>
    <w:pPr>
      <w:ind w:left="0" w:firstLine="0"/>
      <w:outlineLvl w:val="1"/>
    </w:pPr>
    <w:rPr>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C83AC2"/>
    <w:pPr>
      <w:tabs>
        <w:tab w:val="left" w:pos="2014"/>
        <w:tab w:val="right" w:pos="8647"/>
      </w:tabs>
      <w:spacing w:after="0" w:line="240" w:lineRule="auto"/>
    </w:pPr>
    <w:rPr>
      <w:rFonts w:ascii="Arial" w:hAnsi="Arial"/>
      <w:noProof/>
      <w:color w:val="595959" w:themeColor="text1" w:themeTint="A6"/>
      <w:sz w:val="16"/>
    </w:rPr>
  </w:style>
  <w:style w:type="character" w:customStyle="1" w:styleId="FuzeileZchn">
    <w:name w:val="Fußzeile Zchn"/>
    <w:basedOn w:val="Absatz-Standardschriftart"/>
    <w:link w:val="Fuzeile"/>
    <w:uiPriority w:val="99"/>
    <w:rsid w:val="00C83AC2"/>
    <w:rPr>
      <w:rFonts w:ascii="Arial" w:hAnsi="Arial"/>
      <w:noProof/>
      <w:color w:val="595959" w:themeColor="text1" w:themeTint="A6"/>
      <w:sz w:val="16"/>
    </w:rPr>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basedOn w:val="Standard"/>
    <w:uiPriority w:val="1"/>
    <w:qFormat/>
    <w:rsid w:val="0012014E"/>
    <w:pPr>
      <w:spacing w:after="0" w:line="240" w:lineRule="auto"/>
    </w:pPr>
  </w:style>
  <w:style w:type="character" w:customStyle="1" w:styleId="berschrift1Zchn">
    <w:name w:val="Überschrift 1 Zchn"/>
    <w:basedOn w:val="Absatz-Standardschriftart"/>
    <w:link w:val="berschrift1"/>
    <w:uiPriority w:val="9"/>
    <w:rsid w:val="0056537F"/>
    <w:rPr>
      <w:rFonts w:ascii="Calibri" w:hAnsi="Calibri" w:cs="Arial"/>
      <w:b/>
      <w:caps/>
      <w:color w:val="0F243E" w:themeColor="text2" w:themeShade="80"/>
      <w:sz w:val="24"/>
      <w:shd w:val="clear" w:color="auto" w:fill="B8CCE4" w:themeFill="accent1" w:themeFillTint="66"/>
    </w:rPr>
  </w:style>
  <w:style w:type="paragraph" w:customStyle="1" w:styleId="Kopfzeileberschrift">
    <w:name w:val="Kopfzeile Überschrift"/>
    <w:basedOn w:val="Kopfzeile"/>
    <w:link w:val="KopfzeileberschriftZchn"/>
    <w:rsid w:val="00C83AC2"/>
    <w:pPr>
      <w:tabs>
        <w:tab w:val="clear" w:pos="9072"/>
        <w:tab w:val="right" w:pos="9214"/>
      </w:tabs>
    </w:pPr>
    <w:rPr>
      <w:rFonts w:ascii="Arial" w:hAnsi="Arial" w:cs="Arial"/>
      <w:color w:val="C00000"/>
      <w:sz w:val="24"/>
      <w:szCs w:val="24"/>
    </w:rPr>
  </w:style>
  <w:style w:type="paragraph" w:customStyle="1" w:styleId="KopfzeileUntertitel">
    <w:name w:val="Kopfzeile Untertitel"/>
    <w:basedOn w:val="Kopfzeile"/>
    <w:rsid w:val="00C83AC2"/>
    <w:pPr>
      <w:tabs>
        <w:tab w:val="clear" w:pos="9072"/>
        <w:tab w:val="right" w:pos="9214"/>
      </w:tabs>
    </w:pPr>
    <w:rPr>
      <w:rFonts w:ascii="Arial" w:hAnsi="Arial" w:cs="Arial"/>
      <w:color w:val="0F243E" w:themeColor="text2" w:themeShade="80"/>
      <w:sz w:val="20"/>
      <w:szCs w:val="20"/>
    </w:rPr>
  </w:style>
  <w:style w:type="character" w:customStyle="1" w:styleId="KopfzeileberschriftZchn">
    <w:name w:val="Kopfzeile Überschrift Zchn"/>
    <w:basedOn w:val="KopfzeileZchn"/>
    <w:link w:val="Kopfzeileberschrift"/>
    <w:rsid w:val="00C83AC2"/>
    <w:rPr>
      <w:rFonts w:ascii="Arial" w:hAnsi="Arial" w:cs="Arial"/>
      <w:color w:val="C00000"/>
      <w:sz w:val="24"/>
      <w:szCs w:val="24"/>
    </w:rPr>
  </w:style>
  <w:style w:type="paragraph" w:customStyle="1" w:styleId="KopfzeileInfos">
    <w:name w:val="Kopfzeile Infos"/>
    <w:basedOn w:val="Kopfzeile"/>
    <w:link w:val="KopfzeileInfosZchn"/>
    <w:rsid w:val="00C83AC2"/>
    <w:rPr>
      <w:rFonts w:ascii="Arial" w:hAnsi="Arial" w:cs="Arial"/>
      <w:sz w:val="15"/>
      <w:szCs w:val="15"/>
    </w:rPr>
  </w:style>
  <w:style w:type="character" w:customStyle="1" w:styleId="KopfzeileInfosZchn">
    <w:name w:val="Kopfzeile Infos Zchn"/>
    <w:basedOn w:val="KopfzeileZchn"/>
    <w:link w:val="KopfzeileInfos"/>
    <w:rsid w:val="00C83AC2"/>
    <w:rPr>
      <w:rFonts w:ascii="Arial" w:hAnsi="Arial" w:cs="Arial"/>
      <w:sz w:val="15"/>
      <w:szCs w:val="15"/>
    </w:rPr>
  </w:style>
  <w:style w:type="paragraph" w:customStyle="1" w:styleId="berschriftmitRahmenblau">
    <w:name w:val="Überschrift mit Rahmen (blau)"/>
    <w:basedOn w:val="berschrift1"/>
    <w:rsid w:val="00AD6D38"/>
  </w:style>
  <w:style w:type="paragraph" w:styleId="Listenabsatz">
    <w:name w:val="List Paragraph"/>
    <w:basedOn w:val="Standard"/>
    <w:uiPriority w:val="34"/>
    <w:qFormat/>
    <w:rsid w:val="0012014E"/>
    <w:pPr>
      <w:numPr>
        <w:numId w:val="1"/>
      </w:numPr>
      <w:ind w:left="1020" w:hanging="340"/>
      <w:contextualSpacing/>
    </w:pPr>
  </w:style>
  <w:style w:type="paragraph" w:customStyle="1" w:styleId="berschriftAufgabe">
    <w:name w:val="Überschrift (Aufgabe)"/>
    <w:basedOn w:val="berschrift1"/>
    <w:rsid w:val="00AD6D3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tabs>
        <w:tab w:val="left" w:pos="340"/>
      </w:tabs>
      <w:ind w:left="340" w:hanging="340"/>
    </w:pPr>
  </w:style>
  <w:style w:type="character" w:customStyle="1" w:styleId="berschrift2Zchn">
    <w:name w:val="Überschrift 2 Zchn"/>
    <w:basedOn w:val="Absatz-Standardschriftart"/>
    <w:link w:val="berschrift2"/>
    <w:uiPriority w:val="9"/>
    <w:rsid w:val="0056537F"/>
    <w:rPr>
      <w:rFonts w:ascii="Calibri" w:hAnsi="Calibri" w:cs="Arial"/>
      <w:b/>
      <w:caps/>
      <w:color w:val="984806" w:themeColor="accent6" w:themeShade="80"/>
      <w:sz w:val="24"/>
      <w:shd w:val="clear" w:color="auto" w:fill="FDE9D9" w:themeFill="accent6" w:themeFillTint="33"/>
    </w:rPr>
  </w:style>
  <w:style w:type="character" w:styleId="Hyperlink">
    <w:name w:val="Hyperlink"/>
    <w:basedOn w:val="Absatz-Standardschriftart"/>
    <w:uiPriority w:val="99"/>
    <w:unhideWhenUsed/>
    <w:rsid w:val="00C83AC2"/>
    <w:rPr>
      <w:color w:val="17365D" w:themeColor="text2" w:themeShade="BF"/>
      <w:u w:val="dotted"/>
    </w:rPr>
  </w:style>
  <w:style w:type="character" w:styleId="Hervorhebung">
    <w:name w:val="Emphasis"/>
    <w:basedOn w:val="Absatz-Standardschriftart"/>
    <w:uiPriority w:val="20"/>
    <w:rsid w:val="003E5795"/>
    <w:rPr>
      <w:rFonts w:ascii="Calibri Light" w:hAnsi="Calibri Light"/>
      <w:b/>
      <w:iCs/>
      <w:caps/>
      <w:smallCaps w:val="0"/>
      <w:color w:val="17365D" w:themeColor="text2" w:themeShade="BF"/>
    </w:rPr>
  </w:style>
  <w:style w:type="character" w:styleId="IntensiveHervorhebung">
    <w:name w:val="Intense Emphasis"/>
    <w:basedOn w:val="Absatz-Standardschriftart"/>
    <w:uiPriority w:val="21"/>
    <w:rsid w:val="003E5795"/>
    <w:rPr>
      <w:rFonts w:ascii="Calibri Light" w:hAnsi="Calibri Light"/>
      <w:b/>
      <w:i w:val="0"/>
      <w:iCs/>
      <w:caps/>
      <w:smallCaps w:val="0"/>
      <w:color w:val="C00000"/>
    </w:rPr>
  </w:style>
  <w:style w:type="character" w:styleId="Platzhaltertext">
    <w:name w:val="Placeholder Text"/>
    <w:basedOn w:val="Absatz-Standardschriftart"/>
    <w:uiPriority w:val="99"/>
    <w:semiHidden/>
    <w:rsid w:val="00CC08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footer1.xml.rels><?xml version="1.0" encoding="UTF-8" standalone="yes"?>
<Relationships xmlns="http://schemas.openxmlformats.org/package/2006/relationships"><Relationship Id="rId2" Type="http://schemas.openxmlformats.org/officeDocument/2006/relationships/oleObject" Target="embeddings/Microsoft_Visio_2003-2010-Zeichnung1.vsd"/><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Visio_2003-2010-Zeichnung.vsd"/><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S:\Sonstiges\Word\Vorlagen\OSZ\Arbeitsblatt%20A4.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Spannungsabfall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Tabelle1!$I$6</c:f>
              <c:strCache>
                <c:ptCount val="1"/>
                <c:pt idx="0">
                  <c:v>Ug (berechnet)</c:v>
                </c:pt>
              </c:strCache>
            </c:strRef>
          </c:tx>
          <c:spPr>
            <a:ln w="28575" cap="rnd">
              <a:solidFill>
                <a:schemeClr val="accent1"/>
              </a:solidFill>
              <a:round/>
            </a:ln>
            <a:effectLst/>
          </c:spPr>
          <c:marker>
            <c:symbol val="none"/>
          </c:marker>
          <c:val>
            <c:numRef>
              <c:f>Tabelle1!$I$7:$I$108</c:f>
              <c:numCache>
                <c:formatCode>0.0</c:formatCode>
                <c:ptCount val="102"/>
                <c:pt idx="0">
                  <c:v>3.02</c:v>
                </c:pt>
                <c:pt idx="1">
                  <c:v>3.01</c:v>
                </c:pt>
                <c:pt idx="2">
                  <c:v>2.99</c:v>
                </c:pt>
                <c:pt idx="3">
                  <c:v>2.96</c:v>
                </c:pt>
                <c:pt idx="4">
                  <c:v>2.94</c:v>
                </c:pt>
                <c:pt idx="5">
                  <c:v>2.9000000000000004</c:v>
                </c:pt>
                <c:pt idx="6">
                  <c:v>2.87</c:v>
                </c:pt>
                <c:pt idx="7">
                  <c:v>2.85</c:v>
                </c:pt>
                <c:pt idx="8">
                  <c:v>2.7800000000000002</c:v>
                </c:pt>
                <c:pt idx="9">
                  <c:v>2.79</c:v>
                </c:pt>
                <c:pt idx="10">
                  <c:v>2.7199999999999998</c:v>
                </c:pt>
                <c:pt idx="11">
                  <c:v>2.71</c:v>
                </c:pt>
                <c:pt idx="12">
                  <c:v>2.71</c:v>
                </c:pt>
                <c:pt idx="13">
                  <c:v>2.66</c:v>
                </c:pt>
                <c:pt idx="14">
                  <c:v>2.67</c:v>
                </c:pt>
                <c:pt idx="15">
                  <c:v>2.59</c:v>
                </c:pt>
                <c:pt idx="16">
                  <c:v>2.57</c:v>
                </c:pt>
                <c:pt idx="17">
                  <c:v>2.56</c:v>
                </c:pt>
                <c:pt idx="18">
                  <c:v>2.4900000000000002</c:v>
                </c:pt>
                <c:pt idx="19">
                  <c:v>2.46</c:v>
                </c:pt>
                <c:pt idx="20">
                  <c:v>2.4500000000000002</c:v>
                </c:pt>
                <c:pt idx="21">
                  <c:v>2.4</c:v>
                </c:pt>
                <c:pt idx="22">
                  <c:v>2.38</c:v>
                </c:pt>
                <c:pt idx="23">
                  <c:v>2.38</c:v>
                </c:pt>
                <c:pt idx="24">
                  <c:v>2.31</c:v>
                </c:pt>
                <c:pt idx="25">
                  <c:v>2.2999999999999998</c:v>
                </c:pt>
                <c:pt idx="26">
                  <c:v>2.27</c:v>
                </c:pt>
                <c:pt idx="27">
                  <c:v>2.21</c:v>
                </c:pt>
                <c:pt idx="28">
                  <c:v>2.2000000000000002</c:v>
                </c:pt>
                <c:pt idx="29">
                  <c:v>2.19</c:v>
                </c:pt>
                <c:pt idx="30">
                  <c:v>2.1500000000000004</c:v>
                </c:pt>
                <c:pt idx="31">
                  <c:v>2.16</c:v>
                </c:pt>
                <c:pt idx="32">
                  <c:v>2.09</c:v>
                </c:pt>
                <c:pt idx="33">
                  <c:v>2.1</c:v>
                </c:pt>
                <c:pt idx="34">
                  <c:v>2.02</c:v>
                </c:pt>
                <c:pt idx="35">
                  <c:v>1.98</c:v>
                </c:pt>
                <c:pt idx="36">
                  <c:v>1.99</c:v>
                </c:pt>
                <c:pt idx="37">
                  <c:v>1.94</c:v>
                </c:pt>
                <c:pt idx="38">
                  <c:v>1.91</c:v>
                </c:pt>
                <c:pt idx="39">
                  <c:v>1.8900000000000001</c:v>
                </c:pt>
                <c:pt idx="40">
                  <c:v>1.85</c:v>
                </c:pt>
                <c:pt idx="41">
                  <c:v>1.8399999999999999</c:v>
                </c:pt>
                <c:pt idx="42">
                  <c:v>1.8199999999999998</c:v>
                </c:pt>
                <c:pt idx="43">
                  <c:v>1.7600000000000002</c:v>
                </c:pt>
                <c:pt idx="44">
                  <c:v>1.7200000000000002</c:v>
                </c:pt>
                <c:pt idx="45">
                  <c:v>1.73</c:v>
                </c:pt>
                <c:pt idx="46">
                  <c:v>1.6400000000000001</c:v>
                </c:pt>
                <c:pt idx="47">
                  <c:v>1.6400000000000001</c:v>
                </c:pt>
                <c:pt idx="48">
                  <c:v>1.6400000000000001</c:v>
                </c:pt>
                <c:pt idx="49">
                  <c:v>1.53</c:v>
                </c:pt>
                <c:pt idx="50">
                  <c:v>1.57</c:v>
                </c:pt>
                <c:pt idx="51">
                  <c:v>1.5699999999999998</c:v>
                </c:pt>
                <c:pt idx="52">
                  <c:v>1.4500000000000002</c:v>
                </c:pt>
                <c:pt idx="53">
                  <c:v>1.51</c:v>
                </c:pt>
                <c:pt idx="54">
                  <c:v>1.42</c:v>
                </c:pt>
                <c:pt idx="55">
                  <c:v>1.38</c:v>
                </c:pt>
                <c:pt idx="56">
                  <c:v>1.4300000000000002</c:v>
                </c:pt>
                <c:pt idx="57">
                  <c:v>1.2999999999999998</c:v>
                </c:pt>
                <c:pt idx="58">
                  <c:v>1.32</c:v>
                </c:pt>
                <c:pt idx="59">
                  <c:v>1.3199999999999998</c:v>
                </c:pt>
                <c:pt idx="60">
                  <c:v>1.23</c:v>
                </c:pt>
                <c:pt idx="61">
                  <c:v>1.25</c:v>
                </c:pt>
                <c:pt idx="62">
                  <c:v>1.21</c:v>
                </c:pt>
                <c:pt idx="63">
                  <c:v>1.1299999999999999</c:v>
                </c:pt>
                <c:pt idx="64">
                  <c:v>1.21</c:v>
                </c:pt>
                <c:pt idx="65">
                  <c:v>1.0699999999999998</c:v>
                </c:pt>
                <c:pt idx="66">
                  <c:v>1.07</c:v>
                </c:pt>
                <c:pt idx="67">
                  <c:v>1.0899999999999999</c:v>
                </c:pt>
                <c:pt idx="68">
                  <c:v>1.03</c:v>
                </c:pt>
                <c:pt idx="69">
                  <c:v>1.01</c:v>
                </c:pt>
                <c:pt idx="70">
                  <c:v>0.94</c:v>
                </c:pt>
                <c:pt idx="71">
                  <c:v>0.96</c:v>
                </c:pt>
                <c:pt idx="72">
                  <c:v>0.90999999999999992</c:v>
                </c:pt>
                <c:pt idx="73">
                  <c:v>0.8600000000000001</c:v>
                </c:pt>
                <c:pt idx="74">
                  <c:v>0.8600000000000001</c:v>
                </c:pt>
                <c:pt idx="75">
                  <c:v>0.79</c:v>
                </c:pt>
                <c:pt idx="76">
                  <c:v>0.79</c:v>
                </c:pt>
                <c:pt idx="77">
                  <c:v>0.76</c:v>
                </c:pt>
                <c:pt idx="78">
                  <c:v>0.7</c:v>
                </c:pt>
                <c:pt idx="79">
                  <c:v>0.69</c:v>
                </c:pt>
                <c:pt idx="80">
                  <c:v>0.67999999999999994</c:v>
                </c:pt>
                <c:pt idx="81">
                  <c:v>0.62</c:v>
                </c:pt>
                <c:pt idx="82">
                  <c:v>0.63</c:v>
                </c:pt>
                <c:pt idx="83">
                  <c:v>0.56999999999999995</c:v>
                </c:pt>
                <c:pt idx="84">
                  <c:v>0.53</c:v>
                </c:pt>
                <c:pt idx="85">
                  <c:v>0.52</c:v>
                </c:pt>
                <c:pt idx="86">
                  <c:v>0.47</c:v>
                </c:pt>
                <c:pt idx="87">
                  <c:v>0.47</c:v>
                </c:pt>
                <c:pt idx="88">
                  <c:v>0.44000000000000006</c:v>
                </c:pt>
                <c:pt idx="89">
                  <c:v>0.37</c:v>
                </c:pt>
                <c:pt idx="90">
                  <c:v>0.37</c:v>
                </c:pt>
                <c:pt idx="91">
                  <c:v>0.35</c:v>
                </c:pt>
                <c:pt idx="92">
                  <c:v>0.3</c:v>
                </c:pt>
                <c:pt idx="93">
                  <c:v>0.29000000000000004</c:v>
                </c:pt>
                <c:pt idx="94">
                  <c:v>0.24000000000000002</c:v>
                </c:pt>
                <c:pt idx="95">
                  <c:v>0.19</c:v>
                </c:pt>
                <c:pt idx="96">
                  <c:v>0.19</c:v>
                </c:pt>
                <c:pt idx="97">
                  <c:v>0.16</c:v>
                </c:pt>
                <c:pt idx="98">
                  <c:v>0.13</c:v>
                </c:pt>
                <c:pt idx="99">
                  <c:v>0.1</c:v>
                </c:pt>
                <c:pt idx="100">
                  <c:v>7.0000000000000007E-2</c:v>
                </c:pt>
                <c:pt idx="101">
                  <c:v>0.05</c:v>
                </c:pt>
              </c:numCache>
            </c:numRef>
          </c:val>
          <c:smooth val="0"/>
          <c:extLst>
            <c:ext xmlns:c16="http://schemas.microsoft.com/office/drawing/2014/chart" uri="{C3380CC4-5D6E-409C-BE32-E72D297353CC}">
              <c16:uniqueId val="{00000000-6EC2-4856-B0C5-41A848474E68}"/>
            </c:ext>
          </c:extLst>
        </c:ser>
        <c:ser>
          <c:idx val="1"/>
          <c:order val="1"/>
          <c:tx>
            <c:strRef>
              <c:f>Tabelle1!$F$6</c:f>
              <c:strCache>
                <c:ptCount val="1"/>
                <c:pt idx="0">
                  <c:v>U4 [V]</c:v>
                </c:pt>
              </c:strCache>
            </c:strRef>
          </c:tx>
          <c:spPr>
            <a:ln w="28575" cap="rnd">
              <a:solidFill>
                <a:schemeClr val="accent2"/>
              </a:solidFill>
              <a:round/>
            </a:ln>
            <a:effectLst/>
          </c:spPr>
          <c:marker>
            <c:symbol val="none"/>
          </c:marker>
          <c:val>
            <c:numRef>
              <c:f>Tabelle1!$F$7:$F$108</c:f>
              <c:numCache>
                <c:formatCode>0.0</c:formatCode>
                <c:ptCount val="102"/>
                <c:pt idx="0">
                  <c:v>1.94</c:v>
                </c:pt>
                <c:pt idx="1">
                  <c:v>1.94</c:v>
                </c:pt>
                <c:pt idx="2">
                  <c:v>1.93</c:v>
                </c:pt>
                <c:pt idx="3">
                  <c:v>1.9</c:v>
                </c:pt>
                <c:pt idx="4">
                  <c:v>1.89</c:v>
                </c:pt>
                <c:pt idx="5">
                  <c:v>1.87</c:v>
                </c:pt>
                <c:pt idx="6">
                  <c:v>1.84</c:v>
                </c:pt>
                <c:pt idx="7">
                  <c:v>1.84</c:v>
                </c:pt>
                <c:pt idx="8">
                  <c:v>1.79</c:v>
                </c:pt>
                <c:pt idx="9">
                  <c:v>1.8</c:v>
                </c:pt>
                <c:pt idx="10">
                  <c:v>1.75</c:v>
                </c:pt>
                <c:pt idx="11">
                  <c:v>1.74</c:v>
                </c:pt>
                <c:pt idx="12">
                  <c:v>1.76</c:v>
                </c:pt>
                <c:pt idx="13">
                  <c:v>1.71</c:v>
                </c:pt>
                <c:pt idx="14">
                  <c:v>1.72</c:v>
                </c:pt>
                <c:pt idx="15">
                  <c:v>1.67</c:v>
                </c:pt>
                <c:pt idx="16">
                  <c:v>1.65</c:v>
                </c:pt>
                <c:pt idx="17">
                  <c:v>1.65</c:v>
                </c:pt>
                <c:pt idx="18">
                  <c:v>1.61</c:v>
                </c:pt>
                <c:pt idx="19">
                  <c:v>1.57</c:v>
                </c:pt>
                <c:pt idx="20">
                  <c:v>1.58</c:v>
                </c:pt>
                <c:pt idx="21">
                  <c:v>1.54</c:v>
                </c:pt>
                <c:pt idx="22">
                  <c:v>1.52</c:v>
                </c:pt>
                <c:pt idx="23">
                  <c:v>1.55</c:v>
                </c:pt>
                <c:pt idx="24">
                  <c:v>1.47</c:v>
                </c:pt>
                <c:pt idx="25">
                  <c:v>1.49</c:v>
                </c:pt>
                <c:pt idx="26">
                  <c:v>1.47</c:v>
                </c:pt>
                <c:pt idx="27">
                  <c:v>1.4</c:v>
                </c:pt>
                <c:pt idx="28">
                  <c:v>1.43</c:v>
                </c:pt>
                <c:pt idx="29">
                  <c:v>1.42</c:v>
                </c:pt>
                <c:pt idx="30">
                  <c:v>1.37</c:v>
                </c:pt>
                <c:pt idx="31">
                  <c:v>1.41</c:v>
                </c:pt>
                <c:pt idx="32">
                  <c:v>1.33</c:v>
                </c:pt>
                <c:pt idx="33">
                  <c:v>1.35</c:v>
                </c:pt>
                <c:pt idx="34">
                  <c:v>1.31</c:v>
                </c:pt>
                <c:pt idx="35">
                  <c:v>1.24</c:v>
                </c:pt>
                <c:pt idx="36">
                  <c:v>1.3</c:v>
                </c:pt>
                <c:pt idx="37">
                  <c:v>1.25</c:v>
                </c:pt>
                <c:pt idx="38">
                  <c:v>1.21</c:v>
                </c:pt>
                <c:pt idx="39">
                  <c:v>1.24</c:v>
                </c:pt>
                <c:pt idx="40">
                  <c:v>1.18</c:v>
                </c:pt>
                <c:pt idx="41">
                  <c:v>1.18</c:v>
                </c:pt>
                <c:pt idx="42">
                  <c:v>1.2</c:v>
                </c:pt>
                <c:pt idx="43">
                  <c:v>1.1100000000000001</c:v>
                </c:pt>
                <c:pt idx="44">
                  <c:v>1.1200000000000001</c:v>
                </c:pt>
                <c:pt idx="45">
                  <c:v>1.1200000000000001</c:v>
                </c:pt>
                <c:pt idx="46">
                  <c:v>1.04</c:v>
                </c:pt>
                <c:pt idx="47">
                  <c:v>1.07</c:v>
                </c:pt>
                <c:pt idx="48">
                  <c:v>1.05</c:v>
                </c:pt>
                <c:pt idx="49">
                  <c:v>0.98</c:v>
                </c:pt>
                <c:pt idx="50">
                  <c:v>1.02</c:v>
                </c:pt>
                <c:pt idx="51">
                  <c:v>1</c:v>
                </c:pt>
                <c:pt idx="52">
                  <c:v>0.93</c:v>
                </c:pt>
                <c:pt idx="53">
                  <c:v>0.98</c:v>
                </c:pt>
                <c:pt idx="54">
                  <c:v>0.89</c:v>
                </c:pt>
                <c:pt idx="55">
                  <c:v>0.9</c:v>
                </c:pt>
                <c:pt idx="56">
                  <c:v>0.91</c:v>
                </c:pt>
                <c:pt idx="57">
                  <c:v>0.82</c:v>
                </c:pt>
                <c:pt idx="58">
                  <c:v>0.86</c:v>
                </c:pt>
                <c:pt idx="59">
                  <c:v>0.84</c:v>
                </c:pt>
                <c:pt idx="60">
                  <c:v>0.78</c:v>
                </c:pt>
                <c:pt idx="61">
                  <c:v>0.8</c:v>
                </c:pt>
                <c:pt idx="62">
                  <c:v>0.78</c:v>
                </c:pt>
                <c:pt idx="63">
                  <c:v>0.72</c:v>
                </c:pt>
                <c:pt idx="64">
                  <c:v>0.78</c:v>
                </c:pt>
                <c:pt idx="65">
                  <c:v>0.69</c:v>
                </c:pt>
                <c:pt idx="66">
                  <c:v>0.68</c:v>
                </c:pt>
                <c:pt idx="67">
                  <c:v>0.7</c:v>
                </c:pt>
                <c:pt idx="68">
                  <c:v>0.68</c:v>
                </c:pt>
                <c:pt idx="69">
                  <c:v>0.64</c:v>
                </c:pt>
                <c:pt idx="70">
                  <c:v>0.59</c:v>
                </c:pt>
                <c:pt idx="71">
                  <c:v>0.64</c:v>
                </c:pt>
                <c:pt idx="72">
                  <c:v>0.56999999999999995</c:v>
                </c:pt>
                <c:pt idx="73">
                  <c:v>0.55000000000000004</c:v>
                </c:pt>
                <c:pt idx="74">
                  <c:v>0.56000000000000005</c:v>
                </c:pt>
                <c:pt idx="75">
                  <c:v>0.49</c:v>
                </c:pt>
                <c:pt idx="76">
                  <c:v>0.52</c:v>
                </c:pt>
                <c:pt idx="77">
                  <c:v>0.48</c:v>
                </c:pt>
                <c:pt idx="78">
                  <c:v>0.44</c:v>
                </c:pt>
                <c:pt idx="79">
                  <c:v>0.45</c:v>
                </c:pt>
                <c:pt idx="80">
                  <c:v>0.43</c:v>
                </c:pt>
                <c:pt idx="81">
                  <c:v>0.39</c:v>
                </c:pt>
                <c:pt idx="82">
                  <c:v>0.42</c:v>
                </c:pt>
                <c:pt idx="83">
                  <c:v>0.35</c:v>
                </c:pt>
                <c:pt idx="84">
                  <c:v>0.34</c:v>
                </c:pt>
                <c:pt idx="85">
                  <c:v>0.33</c:v>
                </c:pt>
                <c:pt idx="86">
                  <c:v>0.28999999999999998</c:v>
                </c:pt>
                <c:pt idx="87">
                  <c:v>0.31</c:v>
                </c:pt>
                <c:pt idx="88">
                  <c:v>0.28000000000000003</c:v>
                </c:pt>
                <c:pt idx="89">
                  <c:v>0.23</c:v>
                </c:pt>
                <c:pt idx="90">
                  <c:v>0.24</c:v>
                </c:pt>
                <c:pt idx="91">
                  <c:v>0.21</c:v>
                </c:pt>
                <c:pt idx="92">
                  <c:v>0.19</c:v>
                </c:pt>
                <c:pt idx="93">
                  <c:v>0.19</c:v>
                </c:pt>
                <c:pt idx="94">
                  <c:v>0.14000000000000001</c:v>
                </c:pt>
                <c:pt idx="95">
                  <c:v>0.12</c:v>
                </c:pt>
                <c:pt idx="96">
                  <c:v>0.12</c:v>
                </c:pt>
                <c:pt idx="97">
                  <c:v>0.09</c:v>
                </c:pt>
                <c:pt idx="98">
                  <c:v>0.08</c:v>
                </c:pt>
                <c:pt idx="99">
                  <c:v>0.06</c:v>
                </c:pt>
                <c:pt idx="100">
                  <c:v>0.04</c:v>
                </c:pt>
                <c:pt idx="101">
                  <c:v>0.03</c:v>
                </c:pt>
              </c:numCache>
            </c:numRef>
          </c:val>
          <c:smooth val="0"/>
          <c:extLst>
            <c:ext xmlns:c16="http://schemas.microsoft.com/office/drawing/2014/chart" uri="{C3380CC4-5D6E-409C-BE32-E72D297353CC}">
              <c16:uniqueId val="{00000001-6EC2-4856-B0C5-41A848474E68}"/>
            </c:ext>
          </c:extLst>
        </c:ser>
        <c:ser>
          <c:idx val="2"/>
          <c:order val="2"/>
          <c:tx>
            <c:strRef>
              <c:f>Tabelle1!$G$6</c:f>
              <c:strCache>
                <c:ptCount val="1"/>
                <c:pt idx="0">
                  <c:v>U123[V]</c:v>
                </c:pt>
              </c:strCache>
            </c:strRef>
          </c:tx>
          <c:spPr>
            <a:ln w="28575" cap="rnd">
              <a:solidFill>
                <a:schemeClr val="accent3"/>
              </a:solidFill>
              <a:round/>
            </a:ln>
            <a:effectLst/>
          </c:spPr>
          <c:marker>
            <c:symbol val="none"/>
          </c:marker>
          <c:val>
            <c:numRef>
              <c:f>Tabelle1!$G$7:$G$108</c:f>
              <c:numCache>
                <c:formatCode>0.0</c:formatCode>
                <c:ptCount val="102"/>
                <c:pt idx="0">
                  <c:v>1.08</c:v>
                </c:pt>
                <c:pt idx="1">
                  <c:v>1.07</c:v>
                </c:pt>
                <c:pt idx="2">
                  <c:v>1.06</c:v>
                </c:pt>
                <c:pt idx="3">
                  <c:v>1.06</c:v>
                </c:pt>
                <c:pt idx="4">
                  <c:v>1.05</c:v>
                </c:pt>
                <c:pt idx="5">
                  <c:v>1.03</c:v>
                </c:pt>
                <c:pt idx="6">
                  <c:v>1.03</c:v>
                </c:pt>
                <c:pt idx="7">
                  <c:v>1.01</c:v>
                </c:pt>
                <c:pt idx="8">
                  <c:v>0.99</c:v>
                </c:pt>
                <c:pt idx="9">
                  <c:v>0.99</c:v>
                </c:pt>
                <c:pt idx="10">
                  <c:v>0.97</c:v>
                </c:pt>
                <c:pt idx="11">
                  <c:v>0.97</c:v>
                </c:pt>
                <c:pt idx="12">
                  <c:v>0.95</c:v>
                </c:pt>
                <c:pt idx="13">
                  <c:v>0.95</c:v>
                </c:pt>
                <c:pt idx="14">
                  <c:v>0.95</c:v>
                </c:pt>
                <c:pt idx="15">
                  <c:v>0.92</c:v>
                </c:pt>
                <c:pt idx="16">
                  <c:v>0.92</c:v>
                </c:pt>
                <c:pt idx="17">
                  <c:v>0.91</c:v>
                </c:pt>
                <c:pt idx="18">
                  <c:v>0.88</c:v>
                </c:pt>
                <c:pt idx="19">
                  <c:v>0.89</c:v>
                </c:pt>
                <c:pt idx="20">
                  <c:v>0.87</c:v>
                </c:pt>
                <c:pt idx="21">
                  <c:v>0.86</c:v>
                </c:pt>
                <c:pt idx="22">
                  <c:v>0.86</c:v>
                </c:pt>
                <c:pt idx="23">
                  <c:v>0.83</c:v>
                </c:pt>
                <c:pt idx="24">
                  <c:v>0.84</c:v>
                </c:pt>
                <c:pt idx="25">
                  <c:v>0.81</c:v>
                </c:pt>
                <c:pt idx="26">
                  <c:v>0.8</c:v>
                </c:pt>
                <c:pt idx="27">
                  <c:v>0.81</c:v>
                </c:pt>
                <c:pt idx="28">
                  <c:v>0.77</c:v>
                </c:pt>
                <c:pt idx="29">
                  <c:v>0.77</c:v>
                </c:pt>
                <c:pt idx="30">
                  <c:v>0.78</c:v>
                </c:pt>
                <c:pt idx="31">
                  <c:v>0.75</c:v>
                </c:pt>
                <c:pt idx="32">
                  <c:v>0.76</c:v>
                </c:pt>
                <c:pt idx="33">
                  <c:v>0.75</c:v>
                </c:pt>
                <c:pt idx="34">
                  <c:v>0.71</c:v>
                </c:pt>
                <c:pt idx="35">
                  <c:v>0.74</c:v>
                </c:pt>
                <c:pt idx="36">
                  <c:v>0.69</c:v>
                </c:pt>
                <c:pt idx="37">
                  <c:v>0.69</c:v>
                </c:pt>
                <c:pt idx="38">
                  <c:v>0.7</c:v>
                </c:pt>
                <c:pt idx="39">
                  <c:v>0.65</c:v>
                </c:pt>
                <c:pt idx="40">
                  <c:v>0.67</c:v>
                </c:pt>
                <c:pt idx="41">
                  <c:v>0.66</c:v>
                </c:pt>
                <c:pt idx="42">
                  <c:v>0.62</c:v>
                </c:pt>
                <c:pt idx="43">
                  <c:v>0.65</c:v>
                </c:pt>
                <c:pt idx="44">
                  <c:v>0.6</c:v>
                </c:pt>
                <c:pt idx="45">
                  <c:v>0.61</c:v>
                </c:pt>
                <c:pt idx="46">
                  <c:v>0.6</c:v>
                </c:pt>
                <c:pt idx="47">
                  <c:v>0.56999999999999995</c:v>
                </c:pt>
                <c:pt idx="48">
                  <c:v>0.59</c:v>
                </c:pt>
                <c:pt idx="49">
                  <c:v>0.55000000000000004</c:v>
                </c:pt>
                <c:pt idx="50">
                  <c:v>0.55000000000000004</c:v>
                </c:pt>
                <c:pt idx="51">
                  <c:v>0.56999999999999995</c:v>
                </c:pt>
                <c:pt idx="52">
                  <c:v>0.52</c:v>
                </c:pt>
                <c:pt idx="53">
                  <c:v>0.53</c:v>
                </c:pt>
                <c:pt idx="54">
                  <c:v>0.53</c:v>
                </c:pt>
                <c:pt idx="55">
                  <c:v>0.48</c:v>
                </c:pt>
                <c:pt idx="56">
                  <c:v>0.52</c:v>
                </c:pt>
                <c:pt idx="57">
                  <c:v>0.48</c:v>
                </c:pt>
                <c:pt idx="58">
                  <c:v>0.46</c:v>
                </c:pt>
                <c:pt idx="59">
                  <c:v>0.48</c:v>
                </c:pt>
                <c:pt idx="60">
                  <c:v>0.45</c:v>
                </c:pt>
                <c:pt idx="61">
                  <c:v>0.45</c:v>
                </c:pt>
                <c:pt idx="62">
                  <c:v>0.43</c:v>
                </c:pt>
                <c:pt idx="63">
                  <c:v>0.41</c:v>
                </c:pt>
                <c:pt idx="64">
                  <c:v>0.43</c:v>
                </c:pt>
                <c:pt idx="65">
                  <c:v>0.38</c:v>
                </c:pt>
                <c:pt idx="66">
                  <c:v>0.39</c:v>
                </c:pt>
                <c:pt idx="67">
                  <c:v>0.39</c:v>
                </c:pt>
                <c:pt idx="68">
                  <c:v>0.35</c:v>
                </c:pt>
                <c:pt idx="69">
                  <c:v>0.37</c:v>
                </c:pt>
                <c:pt idx="70">
                  <c:v>0.35</c:v>
                </c:pt>
                <c:pt idx="71">
                  <c:v>0.32</c:v>
                </c:pt>
                <c:pt idx="72">
                  <c:v>0.34</c:v>
                </c:pt>
                <c:pt idx="73">
                  <c:v>0.31</c:v>
                </c:pt>
                <c:pt idx="74">
                  <c:v>0.3</c:v>
                </c:pt>
                <c:pt idx="75">
                  <c:v>0.3</c:v>
                </c:pt>
                <c:pt idx="76">
                  <c:v>0.27</c:v>
                </c:pt>
                <c:pt idx="77">
                  <c:v>0.28000000000000003</c:v>
                </c:pt>
                <c:pt idx="78">
                  <c:v>0.26</c:v>
                </c:pt>
                <c:pt idx="79">
                  <c:v>0.24</c:v>
                </c:pt>
                <c:pt idx="80">
                  <c:v>0.25</c:v>
                </c:pt>
                <c:pt idx="81">
                  <c:v>0.23</c:v>
                </c:pt>
                <c:pt idx="82">
                  <c:v>0.21</c:v>
                </c:pt>
                <c:pt idx="83">
                  <c:v>0.22</c:v>
                </c:pt>
                <c:pt idx="84">
                  <c:v>0.19</c:v>
                </c:pt>
                <c:pt idx="85">
                  <c:v>0.19</c:v>
                </c:pt>
                <c:pt idx="86">
                  <c:v>0.18</c:v>
                </c:pt>
                <c:pt idx="87">
                  <c:v>0.16</c:v>
                </c:pt>
                <c:pt idx="88">
                  <c:v>0.16</c:v>
                </c:pt>
                <c:pt idx="89">
                  <c:v>0.14000000000000001</c:v>
                </c:pt>
                <c:pt idx="90">
                  <c:v>0.13</c:v>
                </c:pt>
                <c:pt idx="91">
                  <c:v>0.14000000000000001</c:v>
                </c:pt>
                <c:pt idx="92">
                  <c:v>0.11</c:v>
                </c:pt>
                <c:pt idx="93">
                  <c:v>0.1</c:v>
                </c:pt>
                <c:pt idx="94">
                  <c:v>0.1</c:v>
                </c:pt>
                <c:pt idx="95">
                  <c:v>7.0000000000000007E-2</c:v>
                </c:pt>
                <c:pt idx="96">
                  <c:v>7.0000000000000007E-2</c:v>
                </c:pt>
                <c:pt idx="97">
                  <c:v>7.0000000000000007E-2</c:v>
                </c:pt>
                <c:pt idx="98">
                  <c:v>0.05</c:v>
                </c:pt>
                <c:pt idx="99">
                  <c:v>0.04</c:v>
                </c:pt>
                <c:pt idx="100">
                  <c:v>0.03</c:v>
                </c:pt>
                <c:pt idx="101">
                  <c:v>0.02</c:v>
                </c:pt>
              </c:numCache>
            </c:numRef>
          </c:val>
          <c:smooth val="0"/>
          <c:extLst>
            <c:ext xmlns:c16="http://schemas.microsoft.com/office/drawing/2014/chart" uri="{C3380CC4-5D6E-409C-BE32-E72D297353CC}">
              <c16:uniqueId val="{00000002-6EC2-4856-B0C5-41A848474E68}"/>
            </c:ext>
          </c:extLst>
        </c:ser>
        <c:dLbls>
          <c:showLegendKey val="0"/>
          <c:showVal val="0"/>
          <c:showCatName val="0"/>
          <c:showSerName val="0"/>
          <c:showPercent val="0"/>
          <c:showBubbleSize val="0"/>
        </c:dLbls>
        <c:smooth val="0"/>
        <c:axId val="353463952"/>
        <c:axId val="353462968"/>
      </c:lineChart>
      <c:catAx>
        <c:axId val="353463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Messpunkt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3462968"/>
        <c:crosses val="autoZero"/>
        <c:auto val="1"/>
        <c:lblAlgn val="ctr"/>
        <c:lblOffset val="100"/>
        <c:noMultiLvlLbl val="0"/>
      </c:catAx>
      <c:valAx>
        <c:axId val="353462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U</a:t>
                </a:r>
                <a:r>
                  <a:rPr lang="de-DE" baseline="0"/>
                  <a:t> [V]</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346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A948C-CCB0-4BA6-997A-5FEB847D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Arbeitsblatt A4.dotx</Template>
  <TotalTime>0</TotalTime>
  <Pages>1</Pages>
  <Words>351</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user</cp:lastModifiedBy>
  <cp:revision>31</cp:revision>
  <cp:lastPrinted>2018-04-12T11:47:00Z</cp:lastPrinted>
  <dcterms:created xsi:type="dcterms:W3CDTF">2016-02-21T16:15:00Z</dcterms:created>
  <dcterms:modified xsi:type="dcterms:W3CDTF">2018-04-12T11:48:00Z</dcterms:modified>
</cp:coreProperties>
</file>