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Team response and change record</w:t>
      </w:r>
    </w:p>
    <w:p>
      <w:r>
        <w:t>PhishLens | SE-2422</w:t>
      </w:r>
    </w:p>
    <w:p>
      <w:r>
        <w:t>Aiym Pangerey; Sabina Zhumagaliyeva; Alibek Asylbekuly</w:t>
      </w:r>
    </w:p>
    <w:p>
      <w:pPr>
        <w:pStyle w:val="Heading2"/>
      </w:pPr>
      <w:r>
        <w:t>Changes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</w:trPr>
        <w:tc>
          <w:tcPr>
            <w:tcW w:type="dxa" w:w="5112"/>
            <w:shd w:fill="F5D9E3"/>
          </w:tcPr>
          <w:p>
            <w:r>
              <w:rPr>
                <w:b/>
              </w:rPr>
              <w:t>Area</w:t>
            </w:r>
          </w:p>
        </w:tc>
        <w:tc>
          <w:tcPr>
            <w:tcW w:type="dxa" w:w="5112"/>
            <w:shd w:fill="F5D9E3"/>
          </w:tcPr>
          <w:p>
            <w:r>
              <w:rPr>
                <w:b/>
              </w:rPr>
              <w:t>Response or change</w:t>
            </w:r>
          </w:p>
        </w:tc>
      </w:tr>
      <w:tr>
        <w:trPr>
          <w:cantSplit/>
        </w:trPr>
        <w:tc>
          <w:tcPr>
            <w:tcW w:type="dxa" w:w="5112"/>
          </w:tcPr>
          <w:p>
            <w:r>
              <w:t>Scope and roles</w:t>
            </w:r>
          </w:p>
        </w:tc>
        <w:tc>
          <w:tcPr>
            <w:tcW w:type="dxa" w:w="5112"/>
          </w:tcPr>
          <w:p>
            <w:r>
              <w:t>Retained the proposed MVP and team responsibilities after positive overall feedback.</w:t>
            </w:r>
          </w:p>
        </w:tc>
      </w:tr>
      <w:tr>
        <w:trPr>
          <w:cantSplit/>
        </w:trPr>
        <w:tc>
          <w:tcPr>
            <w:tcW w:type="dxa" w:w="5112"/>
          </w:tcPr>
          <w:p>
            <w:r>
              <w:t>Consolidated report</w:t>
            </w:r>
          </w:p>
        </w:tc>
        <w:tc>
          <w:tcPr>
            <w:tcW w:type="dxa" w:w="5112"/>
          </w:tcPr>
          <w:p>
            <w:r>
              <w:t>Included the final team-supplied PDF as the authoritative report; its bytes are unchanged.</w:t>
            </w:r>
          </w:p>
        </w:tc>
      </w:tr>
      <w:tr>
        <w:trPr>
          <w:cantSplit/>
        </w:trPr>
        <w:tc>
          <w:tcPr>
            <w:tcW w:type="dxa" w:w="5112"/>
          </w:tcPr>
          <w:p>
            <w:r>
              <w:t>Browser reading</w:t>
            </w:r>
          </w:p>
        </w:tc>
        <w:tc>
          <w:tcPr>
            <w:tcW w:type="dxa" w:w="5112"/>
          </w:tcPr>
          <w:p>
            <w:r>
              <w:t>Added page previews of all 33 PDF pages, separate architecture files and supporting source files.</w:t>
            </w:r>
          </w:p>
        </w:tc>
      </w:tr>
      <w:tr>
        <w:trPr>
          <w:cantSplit/>
        </w:trPr>
        <w:tc>
          <w:tcPr>
            <w:tcW w:type="dxa" w:w="5112"/>
          </w:tcPr>
          <w:p>
            <w:r>
              <w:t>Supervisor record</w:t>
            </w:r>
          </w:p>
        </w:tc>
        <w:tc>
          <w:tcPr>
            <w:tcW w:type="dxa" w:w="5112"/>
          </w:tcPr>
          <w:p>
            <w:r>
              <w:t>Summarized the actual general feedback in a table. No detailed supervisor comments, dates, times, signatures or chat screenshots were added.</w:t>
            </w:r>
          </w:p>
        </w:tc>
      </w:tr>
      <w:tr>
        <w:trPr>
          <w:cantSplit/>
        </w:trPr>
        <w:tc>
          <w:tcPr>
            <w:tcW w:type="dxa" w:w="5112"/>
          </w:tcPr>
          <w:p>
            <w:r>
              <w:t>Source package</w:t>
            </w:r>
          </w:p>
        </w:tc>
        <w:tc>
          <w:tcPr>
            <w:tcW w:type="dxa" w:w="5112"/>
          </w:tcPr>
          <w:p>
            <w:r>
              <w:t>Replaced the earlier package with the current PDF and visible supporting files; excluded the private correspondence image.</w:t>
            </w:r>
          </w:p>
        </w:tc>
      </w:tr>
      <w:tr>
        <w:trPr>
          <w:cantSplit/>
        </w:trPr>
        <w:tc>
          <w:tcPr>
            <w:tcW w:type="dxa" w:w="5112"/>
          </w:tcPr>
          <w:p>
            <w:r>
              <w:t>Version references</w:t>
            </w:r>
          </w:p>
        </w:tc>
        <w:tc>
          <w:tcPr>
            <w:tcW w:type="dxa" w:w="5112"/>
          </w:tcPr>
          <w:p>
            <w:r>
              <w:t>The final PDF cites the original prob-period-1 baseline commit. The publication update is recorded separately rather than representing it as that old commit.</w:t>
            </w:r>
          </w:p>
        </w:tc>
      </w:tr>
    </w:tbl>
    <w:p>
      <w:pPr>
        <w:pStyle w:val="Heading2"/>
      </w:pPr>
      <w:r>
        <w:t>Next stage</w:t>
      </w:r>
    </w:p>
    <w:p>
      <w:r>
        <w:t>Continue user discussions, implementation, model training, evaluation, usability testing and peer review.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  <w:u w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  <w:u w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