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F9E5" w14:textId="77777777" w:rsidR="00A107DA" w:rsidRPr="005F2147" w:rsidRDefault="00A107DA" w:rsidP="00262953">
      <w:pPr>
        <w:jc w:val="center"/>
        <w:rPr>
          <w:rFonts w:ascii="Arial" w:hAnsi="Arial" w:cs="Arial"/>
          <w:sz w:val="28"/>
          <w:szCs w:val="28"/>
        </w:rPr>
      </w:pPr>
      <w:r w:rsidRPr="005F2147">
        <w:rPr>
          <w:rFonts w:ascii="Arial" w:hAnsi="Arial" w:cs="Arial"/>
          <w:sz w:val="28"/>
          <w:szCs w:val="28"/>
        </w:rPr>
        <w:t>Tata Cara Shalat Tasbih Dan Keterangannya</w:t>
      </w:r>
    </w:p>
    <w:p w14:paraId="69F8940A" w14:textId="7639023E" w:rsidR="00A107DA" w:rsidRPr="005F2147" w:rsidRDefault="00A107DA" w:rsidP="00CB7698">
      <w:pPr>
        <w:pStyle w:val="NormalWeb"/>
        <w:shd w:val="clear" w:color="auto" w:fill="FFFFFF"/>
        <w:spacing w:before="0" w:beforeAutospacing="0" w:after="450" w:afterAutospacing="0" w:line="432" w:lineRule="atLeast"/>
        <w:jc w:val="both"/>
        <w:rPr>
          <w:rFonts w:ascii="Arial" w:hAnsi="Arial" w:cs="Arial"/>
          <w:color w:val="333333"/>
          <w:sz w:val="28"/>
          <w:szCs w:val="28"/>
        </w:rPr>
      </w:pPr>
      <w:r w:rsidRPr="005F2147">
        <w:rPr>
          <w:rFonts w:ascii="Arial" w:hAnsi="Arial" w:cs="Arial"/>
          <w:color w:val="333333"/>
          <w:sz w:val="28"/>
          <w:szCs w:val="28"/>
        </w:rPr>
        <w:t>Sholat tasbih merupakan sholat yang dilakukan untuk memperbanyak tasbih kita kepada Allah SWT. Dengan memperbanyak tasbih itu, kita berharap Allah SWT mengampuni dosa-dosa kita. Muhammad SAW sendiri yang mengajarkan tata cara sholat tasbih kepada paman beliau Abbas bin Abdul Muththalib ra.</w:t>
      </w:r>
      <w:r w:rsidR="005B711E" w:rsidRPr="005F2147">
        <w:rPr>
          <w:rFonts w:ascii="Arial" w:hAnsi="Arial" w:cs="Arial"/>
          <w:color w:val="333333"/>
          <w:sz w:val="28"/>
          <w:szCs w:val="28"/>
        </w:rPr>
        <w:t xml:space="preserve"> Rasulullah SAW </w:t>
      </w:r>
      <w:r w:rsidRPr="005F2147">
        <w:rPr>
          <w:rFonts w:ascii="Arial" w:hAnsi="Arial" w:cs="Arial"/>
          <w:color w:val="333333"/>
          <w:sz w:val="28"/>
          <w:szCs w:val="28"/>
        </w:rPr>
        <w:t>sampai menyarankan kepada pamannya untuk menjalankan sholat tasbih meski hanya sekali seumur hidup.</w:t>
      </w:r>
    </w:p>
    <w:p w14:paraId="00543946" w14:textId="77777777" w:rsidR="00A107DA" w:rsidRPr="005F2147" w:rsidRDefault="00A107DA" w:rsidP="00262953">
      <w:pPr>
        <w:jc w:val="center"/>
        <w:rPr>
          <w:rFonts w:ascii="Arial" w:hAnsi="Arial" w:cs="Arial"/>
          <w:sz w:val="28"/>
          <w:szCs w:val="28"/>
        </w:rPr>
      </w:pPr>
      <w:r w:rsidRPr="005F2147">
        <w:rPr>
          <w:rFonts w:ascii="Arial" w:hAnsi="Arial" w:cs="Arial"/>
          <w:sz w:val="28"/>
          <w:szCs w:val="28"/>
        </w:rPr>
        <w:t>Waktu  Shalat Sunah tasbih</w:t>
      </w:r>
    </w:p>
    <w:p w14:paraId="3A25ECA6" w14:textId="7E4265DE" w:rsidR="00A107DA" w:rsidRPr="005F2147" w:rsidRDefault="003D74BA" w:rsidP="00262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5F2147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siang</w:t>
      </w:r>
      <w:r w:rsidR="00A107DA" w:rsidRPr="005F2147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hari, hendaklah dikerjakaan 4 rakaat dengan satu salam.</w:t>
      </w:r>
    </w:p>
    <w:p w14:paraId="5BF47B50" w14:textId="544AF879" w:rsidR="00A107DA" w:rsidRPr="005F2147" w:rsidRDefault="00A107DA" w:rsidP="00262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5F2147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malam hari, hendaklah 4 rakaat dikerjakaan dengan dua salam (masing-masing dua rakat dengan satu salam).</w:t>
      </w:r>
    </w:p>
    <w:p w14:paraId="4D2BA093" w14:textId="77777777" w:rsidR="00A107DA" w:rsidRPr="005F2147" w:rsidRDefault="00A107DA" w:rsidP="00262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5F2147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Tidak disunatkan mengerjakan sholat tasbih berjamaah.</w:t>
      </w:r>
    </w:p>
    <w:p w14:paraId="1DBC128D" w14:textId="77777777" w:rsidR="00A107DA" w:rsidRPr="005F2147" w:rsidRDefault="00A107DA" w:rsidP="00262953">
      <w:pPr>
        <w:jc w:val="center"/>
        <w:rPr>
          <w:rFonts w:ascii="Arial" w:hAnsi="Arial" w:cs="Arial"/>
          <w:sz w:val="28"/>
          <w:szCs w:val="28"/>
        </w:rPr>
      </w:pPr>
      <w:r w:rsidRPr="005F2147">
        <w:rPr>
          <w:rFonts w:ascii="Arial" w:hAnsi="Arial" w:cs="Arial"/>
          <w:sz w:val="28"/>
          <w:szCs w:val="28"/>
        </w:rPr>
        <w:t>Tata cara Shalat tasbih yang benar</w:t>
      </w:r>
    </w:p>
    <w:p w14:paraId="53207B52" w14:textId="77777777" w:rsidR="00A107DA" w:rsidRPr="005F2147" w:rsidRDefault="00A107DA" w:rsidP="00262953">
      <w:pPr>
        <w:pStyle w:val="Heading3"/>
        <w:shd w:val="clear" w:color="auto" w:fill="FFFFFF"/>
        <w:spacing w:before="450" w:beforeAutospacing="0" w:after="225" w:afterAutospacing="0" w:line="36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>1. Niat 2. Takbiratul Ihram 3. Membaca Doa Iftitah</w:t>
      </w:r>
    </w:p>
    <w:p w14:paraId="2027D94D" w14:textId="50D2CADE" w:rsidR="00A107DA" w:rsidRPr="005F2147" w:rsidRDefault="00A107DA" w:rsidP="00262953">
      <w:pPr>
        <w:pStyle w:val="Heading3"/>
        <w:shd w:val="clear" w:color="auto" w:fill="FFFFFF"/>
        <w:spacing w:before="450" w:beforeAutospacing="0" w:after="225" w:afterAutospacing="0" w:line="360" w:lineRule="atLeast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>4. Membaca Al-Fatihah 5. Ruku’ 6. I’tidal 7. Sujud</w:t>
      </w:r>
    </w:p>
    <w:p w14:paraId="33C810A7" w14:textId="77777777" w:rsidR="00A107DA" w:rsidRPr="005F2147" w:rsidRDefault="00A107DA" w:rsidP="00262953">
      <w:pPr>
        <w:pStyle w:val="Heading3"/>
        <w:shd w:val="clear" w:color="auto" w:fill="FFFFFF"/>
        <w:spacing w:before="450" w:beforeAutospacing="0" w:after="225" w:afterAutospacing="0" w:line="36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>8. Duduk di antara dua sujud 9. Sujud yang kedua kali</w:t>
      </w:r>
    </w:p>
    <w:p w14:paraId="1D339A8E" w14:textId="77777777" w:rsidR="00A107DA" w:rsidRPr="005F2147" w:rsidRDefault="00A107DA" w:rsidP="00262953">
      <w:pPr>
        <w:pStyle w:val="Heading3"/>
        <w:shd w:val="clear" w:color="auto" w:fill="FFFFFF"/>
        <w:spacing w:before="450" w:beforeAutospacing="0" w:after="225" w:afterAutospacing="0" w:line="36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>10. Membaca tasbih sebelum rakaat kedua</w:t>
      </w:r>
    </w:p>
    <w:p w14:paraId="5FBD02CA" w14:textId="77777777" w:rsidR="00A107DA" w:rsidRPr="005F2147" w:rsidRDefault="00A107DA" w:rsidP="00262953">
      <w:pPr>
        <w:pStyle w:val="Heading3"/>
        <w:shd w:val="clear" w:color="auto" w:fill="FFFFFF"/>
        <w:spacing w:before="450" w:beforeAutospacing="0" w:after="225" w:afterAutospacing="0" w:line="36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>11. Duduk tasyahud akhir</w:t>
      </w:r>
      <w:r w:rsidRPr="005F2147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>12. Salam</w:t>
      </w:r>
    </w:p>
    <w:p w14:paraId="2019C88E" w14:textId="77777777" w:rsidR="00CB7698" w:rsidRDefault="00CB7698" w:rsidP="00262953">
      <w:pPr>
        <w:jc w:val="center"/>
        <w:rPr>
          <w:rFonts w:ascii="Arial" w:hAnsi="Arial" w:cs="Arial"/>
          <w:sz w:val="28"/>
          <w:szCs w:val="28"/>
        </w:rPr>
      </w:pPr>
    </w:p>
    <w:p w14:paraId="7BD0B1F5" w14:textId="77777777" w:rsidR="00CB7698" w:rsidRDefault="00CB7698" w:rsidP="00262953">
      <w:pPr>
        <w:jc w:val="center"/>
        <w:rPr>
          <w:rFonts w:ascii="Arial" w:hAnsi="Arial" w:cs="Arial"/>
          <w:sz w:val="28"/>
          <w:szCs w:val="28"/>
        </w:rPr>
      </w:pPr>
    </w:p>
    <w:p w14:paraId="343289E2" w14:textId="77777777" w:rsidR="00CB7698" w:rsidRDefault="00CB7698" w:rsidP="00262953">
      <w:pPr>
        <w:jc w:val="center"/>
        <w:rPr>
          <w:rFonts w:ascii="Arial" w:hAnsi="Arial" w:cs="Arial"/>
          <w:sz w:val="28"/>
          <w:szCs w:val="28"/>
        </w:rPr>
      </w:pPr>
    </w:p>
    <w:p w14:paraId="6B4E64EB" w14:textId="77777777" w:rsidR="00CB7698" w:rsidRDefault="00CB7698" w:rsidP="00262953">
      <w:pPr>
        <w:jc w:val="center"/>
        <w:rPr>
          <w:rFonts w:ascii="Arial" w:hAnsi="Arial" w:cs="Arial"/>
          <w:sz w:val="28"/>
          <w:szCs w:val="28"/>
        </w:rPr>
      </w:pPr>
    </w:p>
    <w:p w14:paraId="6073753F" w14:textId="77777777" w:rsidR="00CB7698" w:rsidRDefault="00CB7698" w:rsidP="00262953">
      <w:pPr>
        <w:jc w:val="center"/>
        <w:rPr>
          <w:rFonts w:ascii="Arial" w:hAnsi="Arial" w:cs="Arial"/>
          <w:sz w:val="28"/>
          <w:szCs w:val="28"/>
        </w:rPr>
      </w:pPr>
    </w:p>
    <w:p w14:paraId="0955D5EB" w14:textId="77777777" w:rsidR="00CB7698" w:rsidRDefault="00CB7698" w:rsidP="00262953">
      <w:pPr>
        <w:jc w:val="center"/>
        <w:rPr>
          <w:rFonts w:ascii="Arial" w:hAnsi="Arial" w:cs="Arial"/>
          <w:sz w:val="28"/>
          <w:szCs w:val="28"/>
        </w:rPr>
      </w:pPr>
    </w:p>
    <w:p w14:paraId="7120EAFA" w14:textId="4865ED85" w:rsidR="00A107DA" w:rsidRPr="005F2147" w:rsidRDefault="00A107DA" w:rsidP="00262953">
      <w:pPr>
        <w:jc w:val="center"/>
        <w:rPr>
          <w:rFonts w:ascii="Arial" w:hAnsi="Arial" w:cs="Arial"/>
          <w:sz w:val="28"/>
          <w:szCs w:val="28"/>
        </w:rPr>
      </w:pPr>
      <w:r w:rsidRPr="005F2147">
        <w:rPr>
          <w:rFonts w:ascii="Arial" w:hAnsi="Arial" w:cs="Arial"/>
          <w:sz w:val="28"/>
          <w:szCs w:val="28"/>
        </w:rPr>
        <w:lastRenderedPageBreak/>
        <w:t>Bacaan Shalat tasbih yang benar</w:t>
      </w:r>
    </w:p>
    <w:p w14:paraId="16E372BB" w14:textId="77777777" w:rsidR="00A107DA" w:rsidRPr="005F2147" w:rsidRDefault="00A107DA" w:rsidP="00262953">
      <w:pPr>
        <w:rPr>
          <w:rStyle w:val="Strong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5F2147">
        <w:rPr>
          <w:rFonts w:ascii="Arial" w:hAnsi="Arial" w:cs="Arial"/>
          <w:sz w:val="28"/>
          <w:szCs w:val="28"/>
        </w:rPr>
        <w:t xml:space="preserve">Niat: </w:t>
      </w:r>
      <w:r w:rsidRPr="005F214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F2147">
        <w:rPr>
          <w:rStyle w:val="Strong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USHOLLI SUNNATAT TASBIHI ARBA’A RAK’AATIN LILLAHI TA’ALAA</w:t>
      </w:r>
    </w:p>
    <w:p w14:paraId="2EB537CB" w14:textId="77777777" w:rsidR="00A107DA" w:rsidRPr="005F2147" w:rsidRDefault="00A107DA" w:rsidP="0026295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F2147">
        <w:rPr>
          <w:rStyle w:val="Strong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 xml:space="preserve">Surah: </w:t>
      </w:r>
      <w:r w:rsidRPr="005F2147">
        <w:rPr>
          <w:rFonts w:ascii="Arial" w:hAnsi="Arial" w:cs="Arial"/>
          <w:color w:val="333333"/>
          <w:sz w:val="28"/>
          <w:szCs w:val="28"/>
          <w:shd w:val="clear" w:color="auto" w:fill="FFFFFF"/>
        </w:rPr>
        <w:t>Al-Hadid, Al-Hasyr, As-Shaf, At-Taghabun, Az-Zalzalah, Al-‘Adiyat, At-Takatsur, Al-Ikhlas.</w:t>
      </w:r>
    </w:p>
    <w:p w14:paraId="7642C2E7" w14:textId="77777777" w:rsidR="005F2147" w:rsidRPr="005F2147" w:rsidRDefault="00A107DA" w:rsidP="005F2147">
      <w:pPr>
        <w:shd w:val="clear" w:color="auto" w:fill="FFFFFF"/>
        <w:spacing w:after="450" w:line="432" w:lineRule="atLeast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  <w:r w:rsidRPr="005F2147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Setelah Shalat Tasbih:  SUBHAANA MALLAA YA’LAMU QODROHU GHOIRUHU WALAA YABLUGHUL WAASHIFUUNA SHIFATAH. SUBHAANA ROBBIYAL ‘ALIYYIL A’LAL WAHHAAB</w:t>
      </w:r>
    </w:p>
    <w:p w14:paraId="52E49106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7DFADFE1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6CF7F566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0CAA6701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731F9887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043BD4A9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48D2AE00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61AF141C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5CCD8062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221405C8" w14:textId="77777777" w:rsidR="00CB7698" w:rsidRDefault="00CB7698" w:rsidP="005F2147">
      <w:pPr>
        <w:shd w:val="clear" w:color="auto" w:fill="FFFFFF"/>
        <w:spacing w:after="450" w:line="432" w:lineRule="atLeast"/>
        <w:jc w:val="center"/>
        <w:rPr>
          <w:rFonts w:ascii="Arial" w:hAnsi="Arial" w:cs="Arial"/>
          <w:sz w:val="28"/>
          <w:szCs w:val="28"/>
        </w:rPr>
      </w:pPr>
    </w:p>
    <w:p w14:paraId="17C5EDFC" w14:textId="77777777" w:rsidR="000263C9" w:rsidRDefault="000263C9" w:rsidP="000263C9">
      <w:pPr>
        <w:shd w:val="clear" w:color="auto" w:fill="FFFFFF"/>
        <w:spacing w:after="450" w:line="432" w:lineRule="atLeast"/>
        <w:rPr>
          <w:rFonts w:ascii="Arial" w:hAnsi="Arial" w:cs="Arial"/>
          <w:sz w:val="28"/>
          <w:szCs w:val="28"/>
        </w:rPr>
      </w:pPr>
    </w:p>
    <w:p w14:paraId="47BDC689" w14:textId="587B9312" w:rsidR="00543619" w:rsidRPr="005F2147" w:rsidRDefault="00543619" w:rsidP="00AA053F">
      <w:pPr>
        <w:shd w:val="clear" w:color="auto" w:fill="FFFFFF"/>
        <w:spacing w:after="450" w:line="432" w:lineRule="atLeast"/>
        <w:jc w:val="center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  <w:bookmarkStart w:id="0" w:name="_GoBack"/>
      <w:bookmarkEnd w:id="0"/>
      <w:r w:rsidRPr="005F2147">
        <w:rPr>
          <w:rFonts w:ascii="Arial" w:hAnsi="Arial" w:cs="Arial"/>
          <w:sz w:val="28"/>
          <w:szCs w:val="28"/>
        </w:rPr>
        <w:lastRenderedPageBreak/>
        <w:t>Tata Cara Shalat Istikharah Dan Keterangannya</w:t>
      </w:r>
    </w:p>
    <w:p w14:paraId="2147CE07" w14:textId="4E527C82" w:rsidR="00262953" w:rsidRPr="005F2147" w:rsidRDefault="00262953" w:rsidP="005F21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8"/>
          <w:szCs w:val="28"/>
          <w:lang w:eastAsia="en-ID"/>
        </w:rPr>
      </w:pPr>
      <w:r w:rsidRPr="005F2147">
        <w:rPr>
          <w:rFonts w:ascii="Arial" w:eastAsia="Times New Roman" w:hAnsi="Arial" w:cs="Arial"/>
          <w:color w:val="3A3A3A"/>
          <w:sz w:val="28"/>
          <w:szCs w:val="28"/>
          <w:lang w:eastAsia="en-ID"/>
        </w:rPr>
        <w:t>Shalat istikharah adalah shalat yg berjumlah 2 rakaat yg dilakukan saat menghadapi pilihan-pilihan yang mesti dengan segera diambil keputusan.</w:t>
      </w:r>
    </w:p>
    <w:p w14:paraId="713EE86A" w14:textId="60B0B098" w:rsidR="00F23EF6" w:rsidRPr="005F2147" w:rsidRDefault="00F23EF6" w:rsidP="00262953">
      <w:pPr>
        <w:jc w:val="center"/>
        <w:rPr>
          <w:rFonts w:ascii="Arial" w:hAnsi="Arial" w:cs="Arial"/>
          <w:sz w:val="28"/>
          <w:szCs w:val="28"/>
        </w:rPr>
      </w:pPr>
      <w:r w:rsidRPr="005F2147">
        <w:rPr>
          <w:rFonts w:ascii="Arial" w:hAnsi="Arial" w:cs="Arial"/>
          <w:sz w:val="28"/>
          <w:szCs w:val="28"/>
        </w:rPr>
        <w:t xml:space="preserve">Waktu  </w:t>
      </w:r>
      <w:r w:rsidR="00262953" w:rsidRPr="005F2147">
        <w:rPr>
          <w:rFonts w:ascii="Arial" w:hAnsi="Arial" w:cs="Arial"/>
          <w:sz w:val="28"/>
          <w:szCs w:val="28"/>
        </w:rPr>
        <w:t>Shalat Istikharah</w:t>
      </w:r>
    </w:p>
    <w:p w14:paraId="30B873A5" w14:textId="77777777" w:rsidR="00262953" w:rsidRPr="005F2147" w:rsidRDefault="00262953" w:rsidP="005F214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8"/>
          <w:szCs w:val="28"/>
        </w:rPr>
      </w:pPr>
      <w:r w:rsidRPr="005F2147">
        <w:rPr>
          <w:rFonts w:ascii="Arial" w:hAnsi="Arial" w:cs="Arial"/>
          <w:color w:val="3A3A3A"/>
          <w:sz w:val="28"/>
          <w:szCs w:val="28"/>
        </w:rPr>
        <w:t>shalat istikharah tidak memiliki batasan tertentu untuk waktu pelaksanaannya. Meski demikian ada anjuran untuk melaksanakannya di waktu sepertiga malam. Bersamaan dengan pelaksanaan qiyamullail sholat tahajud.</w:t>
      </w:r>
    </w:p>
    <w:p w14:paraId="768CC85C" w14:textId="6A6AF46B" w:rsidR="00F23EF6" w:rsidRPr="005F2147" w:rsidRDefault="00F23EF6" w:rsidP="00262953">
      <w:pPr>
        <w:jc w:val="center"/>
        <w:rPr>
          <w:rFonts w:ascii="Arial" w:hAnsi="Arial" w:cs="Arial"/>
          <w:sz w:val="28"/>
          <w:szCs w:val="28"/>
        </w:rPr>
      </w:pPr>
      <w:r w:rsidRPr="005F2147">
        <w:rPr>
          <w:rFonts w:ascii="Arial" w:hAnsi="Arial" w:cs="Arial"/>
          <w:sz w:val="28"/>
          <w:szCs w:val="28"/>
        </w:rPr>
        <w:t xml:space="preserve">Tata cara </w:t>
      </w:r>
      <w:r w:rsidR="00262953" w:rsidRPr="005F2147">
        <w:rPr>
          <w:rFonts w:ascii="Arial" w:hAnsi="Arial" w:cs="Arial"/>
          <w:sz w:val="28"/>
          <w:szCs w:val="28"/>
        </w:rPr>
        <w:t xml:space="preserve">Shalat Istikharah </w:t>
      </w:r>
      <w:r w:rsidRPr="005F2147">
        <w:rPr>
          <w:rFonts w:ascii="Arial" w:hAnsi="Arial" w:cs="Arial"/>
          <w:sz w:val="28"/>
          <w:szCs w:val="28"/>
        </w:rPr>
        <w:t>yang benar</w:t>
      </w:r>
    </w:p>
    <w:p w14:paraId="28F5EF77" w14:textId="35D4843A" w:rsidR="00F23EF6" w:rsidRPr="005F2147" w:rsidRDefault="00262953" w:rsidP="00262953">
      <w:pPr>
        <w:pStyle w:val="Heading3"/>
        <w:numPr>
          <w:ilvl w:val="0"/>
          <w:numId w:val="2"/>
        </w:numPr>
        <w:shd w:val="clear" w:color="auto" w:fill="FFFFFF"/>
        <w:spacing w:before="450" w:beforeAutospacing="0" w:after="225" w:afterAutospacing="0" w:line="360" w:lineRule="atLeast"/>
        <w:jc w:val="center"/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 w:rsidRPr="005F2147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Niat: </w:t>
      </w:r>
      <w:r w:rsidRPr="005F2147">
        <w:rPr>
          <w:rStyle w:val="Strong"/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USSHOLLI SUNNATAN ISTIKHOROTI RAK’ATAINI LILLAHI TA’ALA</w:t>
      </w:r>
    </w:p>
    <w:p w14:paraId="2FBEDA9D" w14:textId="08E50341" w:rsidR="00262953" w:rsidRPr="005F2147" w:rsidRDefault="00262953" w:rsidP="005F2147">
      <w:pPr>
        <w:pStyle w:val="Heading3"/>
        <w:shd w:val="clear" w:color="auto" w:fill="FFFFFF"/>
        <w:spacing w:before="450" w:beforeAutospacing="0" w:after="225" w:afterAutospacing="0" w:line="360" w:lineRule="atLeast"/>
        <w:ind w:left="567"/>
        <w:jc w:val="both"/>
        <w:rPr>
          <w:rFonts w:ascii="Arial" w:hAnsi="Arial" w:cs="Arial"/>
          <w:b w:val="0"/>
          <w:bCs w:val="0"/>
          <w:color w:val="3A3A3A"/>
          <w:sz w:val="28"/>
          <w:szCs w:val="28"/>
          <w:shd w:val="clear" w:color="auto" w:fill="FFFFFF"/>
        </w:rPr>
      </w:pPr>
      <w:r w:rsidRPr="005F2147">
        <w:rPr>
          <w:rFonts w:ascii="Arial" w:hAnsi="Arial" w:cs="Arial"/>
          <w:b w:val="0"/>
          <w:bCs w:val="0"/>
          <w:color w:val="3A3A3A"/>
          <w:sz w:val="28"/>
          <w:szCs w:val="28"/>
          <w:shd w:val="clear" w:color="auto" w:fill="FFFFFF"/>
        </w:rPr>
        <w:t>Do’a shalat istikharah ini dibaca seusai melaksanakan sholat 2 rakaat. Dengan demikian, sah dikatakan shalat istikharah jika telah melaksanakan sholat sunnah apa pun yang berjumlah 2 rakaat, kemudian membaca do’a shalat istikharah selepas salam.</w:t>
      </w:r>
    </w:p>
    <w:p w14:paraId="37452D94" w14:textId="66D8F95D" w:rsidR="00262953" w:rsidRPr="005F2147" w:rsidRDefault="00262953" w:rsidP="00262953">
      <w:pPr>
        <w:pStyle w:val="Heading5"/>
        <w:shd w:val="clear" w:color="auto" w:fill="FFFFFF"/>
        <w:spacing w:before="0"/>
        <w:jc w:val="center"/>
        <w:rPr>
          <w:rFonts w:ascii="Arial" w:hAnsi="Arial" w:cs="Arial"/>
          <w:color w:val="3A3A3A"/>
          <w:sz w:val="28"/>
          <w:szCs w:val="28"/>
        </w:rPr>
      </w:pPr>
      <w:r w:rsidRPr="005F2147">
        <w:rPr>
          <w:rStyle w:val="ez-toc-section"/>
          <w:rFonts w:ascii="Arial" w:hAnsi="Arial" w:cs="Arial"/>
          <w:color w:val="3A3A3A"/>
          <w:sz w:val="28"/>
          <w:szCs w:val="28"/>
          <w:bdr w:val="none" w:sz="0" w:space="0" w:color="auto" w:frame="1"/>
        </w:rPr>
        <w:t>Doa Istikharah 1:</w:t>
      </w:r>
    </w:p>
    <w:p w14:paraId="54BA962D" w14:textId="2E571D10" w:rsidR="00262953" w:rsidRPr="005F2147" w:rsidRDefault="00262953" w:rsidP="005F2147">
      <w:pPr>
        <w:pStyle w:val="Heading3"/>
        <w:shd w:val="clear" w:color="auto" w:fill="FFFFFF"/>
        <w:spacing w:before="450" w:beforeAutospacing="0" w:after="225" w:afterAutospacing="0" w:line="360" w:lineRule="atLeast"/>
        <w:ind w:left="567"/>
        <w:jc w:val="both"/>
        <w:rPr>
          <w:rFonts w:ascii="Arial" w:hAnsi="Arial" w:cs="Arial"/>
          <w:b w:val="0"/>
          <w:bCs w:val="0"/>
          <w:color w:val="3A3A3A"/>
          <w:sz w:val="28"/>
          <w:szCs w:val="28"/>
          <w:shd w:val="clear" w:color="auto" w:fill="FFFFFF"/>
        </w:rPr>
      </w:pPr>
      <w:r w:rsidRPr="005F2147">
        <w:rPr>
          <w:rFonts w:ascii="Arial" w:hAnsi="Arial" w:cs="Arial"/>
          <w:b w:val="0"/>
          <w:bCs w:val="0"/>
          <w:color w:val="3A3A3A"/>
          <w:sz w:val="28"/>
          <w:szCs w:val="28"/>
          <w:shd w:val="clear" w:color="auto" w:fill="FFFFFF"/>
        </w:rPr>
        <w:t>“Allahumma inni astakhii-ruka bi ‘ilmika, wa astaq-diruka bi qud-ratika, wa as-aluka min fadh-likal adziim, fa in-naka taq-diru wa laa aq-diru, wa ta’lamu wa laa a’lamu, wa anta ‘allaamul ghuyub. Allahumma in kunta ta’lamu anna hadzal amro khoiron lii fii diinii wa ma’aasyi wa ‘aqibati amrii faq-dur-hu lii, wa yas-sirhu lii, tsumma baarik lii fiihi. Wa in kunta ta’lamu anna hadzal amro syarrun lii fii diinii wa ma’aasyi wa ‘aqibati amrii, fash-rifhu ‘annii was-rifnii ‘anhu, waqdur lial khoiro haitsu kaana tsumma ardhi-nii bih”</w:t>
      </w:r>
    </w:p>
    <w:p w14:paraId="617B22E3" w14:textId="402E3642" w:rsidR="00262953" w:rsidRPr="005F2147" w:rsidRDefault="00262953" w:rsidP="00262953">
      <w:pPr>
        <w:pStyle w:val="Heading5"/>
        <w:shd w:val="clear" w:color="auto" w:fill="FFFFFF"/>
        <w:spacing w:before="0"/>
        <w:jc w:val="center"/>
        <w:rPr>
          <w:rFonts w:ascii="Arial" w:hAnsi="Arial" w:cs="Arial"/>
          <w:color w:val="3A3A3A"/>
          <w:sz w:val="28"/>
          <w:szCs w:val="28"/>
        </w:rPr>
      </w:pPr>
      <w:r w:rsidRPr="005F2147">
        <w:rPr>
          <w:rStyle w:val="ez-toc-section"/>
          <w:rFonts w:ascii="Arial" w:hAnsi="Arial" w:cs="Arial"/>
          <w:color w:val="3A3A3A"/>
          <w:sz w:val="28"/>
          <w:szCs w:val="28"/>
          <w:bdr w:val="none" w:sz="0" w:space="0" w:color="auto" w:frame="1"/>
        </w:rPr>
        <w:t>Doa Istikharah 2:</w:t>
      </w:r>
    </w:p>
    <w:p w14:paraId="0C94065F" w14:textId="1F24DF81" w:rsidR="00262953" w:rsidRPr="005F2147" w:rsidRDefault="00262953" w:rsidP="00262953">
      <w:pPr>
        <w:pStyle w:val="Heading5"/>
        <w:shd w:val="clear" w:color="auto" w:fill="FFFFFF"/>
        <w:spacing w:before="0"/>
        <w:jc w:val="center"/>
        <w:rPr>
          <w:rFonts w:ascii="Arial" w:hAnsi="Arial" w:cs="Arial"/>
          <w:color w:val="3A3A3A"/>
          <w:sz w:val="28"/>
          <w:szCs w:val="28"/>
        </w:rPr>
      </w:pPr>
      <w:r w:rsidRPr="005F2147">
        <w:rPr>
          <w:rFonts w:ascii="Arial" w:hAnsi="Arial" w:cs="Arial"/>
          <w:color w:val="3A3A3A"/>
          <w:sz w:val="28"/>
          <w:szCs w:val="28"/>
        </w:rPr>
        <w:t xml:space="preserve">Sama Dengan </w:t>
      </w:r>
      <w:r w:rsidRPr="005F2147">
        <w:rPr>
          <w:rStyle w:val="ez-toc-section"/>
          <w:rFonts w:ascii="Arial" w:hAnsi="Arial" w:cs="Arial"/>
          <w:color w:val="3A3A3A"/>
          <w:sz w:val="28"/>
          <w:szCs w:val="28"/>
          <w:bdr w:val="none" w:sz="0" w:space="0" w:color="auto" w:frame="1"/>
        </w:rPr>
        <w:t>Doa Istikharah 1 Hanya Saja Ayat</w:t>
      </w:r>
      <w:r w:rsidRPr="005F2147">
        <w:rPr>
          <w:rFonts w:ascii="Arial" w:hAnsi="Arial" w:cs="Arial"/>
          <w:color w:val="3A3A3A"/>
          <w:sz w:val="28"/>
          <w:szCs w:val="28"/>
        </w:rPr>
        <w:t xml:space="preserve"> [دِينِى وَمَعَاشِى وَعَاقِبَةِ أَمْرِى] diganti dengan [عَاجِلِ أَمْرِى وَآجِلِهِ]</w:t>
      </w:r>
    </w:p>
    <w:p w14:paraId="5F02AD3A" w14:textId="77777777" w:rsidR="00262953" w:rsidRPr="005F2147" w:rsidRDefault="00262953" w:rsidP="003D74BA">
      <w:pPr>
        <w:pStyle w:val="Heading3"/>
        <w:shd w:val="clear" w:color="auto" w:fill="FFFFFF"/>
        <w:spacing w:before="450" w:beforeAutospacing="0" w:after="225" w:afterAutospacing="0" w:line="360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23C31B46" w14:textId="77777777" w:rsidR="00F23EF6" w:rsidRPr="005F2147" w:rsidRDefault="00F23EF6" w:rsidP="00262953">
      <w:pPr>
        <w:jc w:val="center"/>
        <w:rPr>
          <w:rFonts w:ascii="Arial" w:hAnsi="Arial" w:cs="Arial"/>
          <w:sz w:val="28"/>
          <w:szCs w:val="28"/>
        </w:rPr>
      </w:pPr>
    </w:p>
    <w:p w14:paraId="0EFA0993" w14:textId="77777777" w:rsidR="00F23EF6" w:rsidRPr="005F2147" w:rsidRDefault="00F23EF6" w:rsidP="00262953">
      <w:pPr>
        <w:pStyle w:val="Heading3"/>
        <w:shd w:val="clear" w:color="auto" w:fill="FFFFFF"/>
        <w:spacing w:before="450" w:beforeAutospacing="0" w:after="225" w:afterAutospacing="0" w:line="360" w:lineRule="atLeast"/>
        <w:jc w:val="center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294E0846" w14:textId="77777777" w:rsidR="00F23EF6" w:rsidRPr="005F2147" w:rsidRDefault="00F23EF6" w:rsidP="00262953">
      <w:pPr>
        <w:pStyle w:val="NormalWeb"/>
        <w:shd w:val="clear" w:color="auto" w:fill="FFFFFF"/>
        <w:spacing w:before="0" w:beforeAutospacing="0" w:after="450" w:afterAutospacing="0" w:line="432" w:lineRule="atLeast"/>
        <w:jc w:val="center"/>
        <w:rPr>
          <w:rFonts w:ascii="Arial" w:hAnsi="Arial" w:cs="Arial"/>
          <w:color w:val="333333"/>
          <w:sz w:val="28"/>
          <w:szCs w:val="28"/>
        </w:rPr>
      </w:pPr>
    </w:p>
    <w:p w14:paraId="31A01DED" w14:textId="77777777" w:rsidR="00F23EF6" w:rsidRPr="005F2147" w:rsidRDefault="00F23EF6" w:rsidP="00262953">
      <w:pPr>
        <w:pStyle w:val="NormalWeb"/>
        <w:shd w:val="clear" w:color="auto" w:fill="FFFFFF"/>
        <w:spacing w:before="0" w:beforeAutospacing="0" w:after="450" w:afterAutospacing="0" w:line="432" w:lineRule="atLeast"/>
        <w:jc w:val="center"/>
        <w:rPr>
          <w:rFonts w:ascii="Arial" w:hAnsi="Arial" w:cs="Arial"/>
          <w:color w:val="333333"/>
          <w:sz w:val="28"/>
          <w:szCs w:val="28"/>
        </w:rPr>
      </w:pPr>
    </w:p>
    <w:p w14:paraId="66A8E549" w14:textId="77777777" w:rsidR="00F23EF6" w:rsidRPr="005F2147" w:rsidRDefault="00F23EF6" w:rsidP="00262953">
      <w:pPr>
        <w:jc w:val="center"/>
        <w:rPr>
          <w:rFonts w:ascii="Arial" w:hAnsi="Arial" w:cs="Arial"/>
          <w:sz w:val="28"/>
          <w:szCs w:val="28"/>
        </w:rPr>
      </w:pPr>
    </w:p>
    <w:p w14:paraId="60012BE0" w14:textId="77777777" w:rsidR="00A107DA" w:rsidRPr="005F2147" w:rsidRDefault="00A107DA" w:rsidP="00262953">
      <w:pPr>
        <w:pStyle w:val="Heading3"/>
        <w:shd w:val="clear" w:color="auto" w:fill="FFFFFF"/>
        <w:spacing w:before="450" w:beforeAutospacing="0" w:after="225" w:afterAutospacing="0" w:line="360" w:lineRule="atLeast"/>
        <w:jc w:val="center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27FD2AA9" w14:textId="77777777" w:rsidR="00A107DA" w:rsidRPr="005F2147" w:rsidRDefault="00A107DA" w:rsidP="00262953">
      <w:pPr>
        <w:pStyle w:val="NormalWeb"/>
        <w:shd w:val="clear" w:color="auto" w:fill="FFFFFF"/>
        <w:spacing w:before="0" w:beforeAutospacing="0" w:after="450" w:afterAutospacing="0" w:line="432" w:lineRule="atLeast"/>
        <w:jc w:val="center"/>
        <w:rPr>
          <w:rFonts w:ascii="Arial" w:hAnsi="Arial" w:cs="Arial"/>
          <w:color w:val="333333"/>
          <w:sz w:val="28"/>
          <w:szCs w:val="28"/>
        </w:rPr>
      </w:pPr>
    </w:p>
    <w:p w14:paraId="365A59A8" w14:textId="77777777" w:rsidR="00A107DA" w:rsidRPr="005F2147" w:rsidRDefault="00A107DA" w:rsidP="00262953">
      <w:pPr>
        <w:pStyle w:val="NormalWeb"/>
        <w:shd w:val="clear" w:color="auto" w:fill="FFFFFF"/>
        <w:spacing w:before="0" w:beforeAutospacing="0" w:after="450" w:afterAutospacing="0" w:line="432" w:lineRule="atLeast"/>
        <w:jc w:val="center"/>
        <w:rPr>
          <w:rFonts w:ascii="Arial" w:hAnsi="Arial" w:cs="Arial"/>
          <w:color w:val="333333"/>
          <w:sz w:val="28"/>
          <w:szCs w:val="28"/>
        </w:rPr>
      </w:pPr>
    </w:p>
    <w:p w14:paraId="649C3482" w14:textId="77777777" w:rsidR="002F767C" w:rsidRPr="005F2147" w:rsidRDefault="002F767C" w:rsidP="00262953">
      <w:pPr>
        <w:jc w:val="center"/>
        <w:rPr>
          <w:rFonts w:ascii="Arial" w:hAnsi="Arial" w:cs="Arial"/>
          <w:sz w:val="28"/>
          <w:szCs w:val="28"/>
        </w:rPr>
      </w:pPr>
    </w:p>
    <w:sectPr w:rsidR="002F767C" w:rsidRPr="005F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mbo">
    <w:panose1 w:val="020B0603010101010101"/>
    <w:charset w:val="00"/>
    <w:family w:val="swiss"/>
    <w:pitch w:val="variable"/>
    <w:sig w:usb0="A000002F" w:usb1="1000000A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23075"/>
    <w:multiLevelType w:val="hybridMultilevel"/>
    <w:tmpl w:val="336E84A6"/>
    <w:lvl w:ilvl="0" w:tplc="418E4302">
      <w:start w:val="1"/>
      <w:numFmt w:val="decimal"/>
      <w:lvlText w:val="%1."/>
      <w:lvlJc w:val="left"/>
      <w:pPr>
        <w:ind w:left="927" w:hanging="360"/>
      </w:pPr>
      <w:rPr>
        <w:rFonts w:ascii="Dimbo" w:hAnsi="Dimbo" w:cs="Times New Roman" w:hint="default"/>
        <w:color w:val="00000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37E7C"/>
    <w:multiLevelType w:val="multilevel"/>
    <w:tmpl w:val="6774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DA"/>
    <w:rsid w:val="000263C9"/>
    <w:rsid w:val="00262953"/>
    <w:rsid w:val="002F767C"/>
    <w:rsid w:val="003D74BA"/>
    <w:rsid w:val="00543619"/>
    <w:rsid w:val="005B711E"/>
    <w:rsid w:val="005F2147"/>
    <w:rsid w:val="00A107DA"/>
    <w:rsid w:val="00AA053F"/>
    <w:rsid w:val="00CB7698"/>
    <w:rsid w:val="00F2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66D2"/>
  <w15:chartTrackingRefBased/>
  <w15:docId w15:val="{6F70C747-66EA-4CE2-BEA4-05F00584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07DA"/>
  </w:style>
  <w:style w:type="paragraph" w:styleId="Heading3">
    <w:name w:val="heading 3"/>
    <w:basedOn w:val="Normal"/>
    <w:link w:val="Heading3Char"/>
    <w:uiPriority w:val="9"/>
    <w:qFormat/>
    <w:rsid w:val="00A10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9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29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7D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unhideWhenUsed/>
    <w:rsid w:val="00A1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A107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07D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629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z-toc-section">
    <w:name w:val="ez-toc-section"/>
    <w:basedOn w:val="DefaultParagraphFont"/>
    <w:rsid w:val="00262953"/>
  </w:style>
  <w:style w:type="character" w:customStyle="1" w:styleId="Heading4Char">
    <w:name w:val="Heading 4 Char"/>
    <w:basedOn w:val="DefaultParagraphFont"/>
    <w:link w:val="Heading4"/>
    <w:uiPriority w:val="9"/>
    <w:rsid w:val="002629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183A-BBCC-42C2-94E6-C74353D2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Fauzan</dc:creator>
  <cp:keywords/>
  <dc:description/>
  <cp:lastModifiedBy>Luthfi Fauzan</cp:lastModifiedBy>
  <cp:revision>12</cp:revision>
  <cp:lastPrinted>2019-10-20T12:59:00Z</cp:lastPrinted>
  <dcterms:created xsi:type="dcterms:W3CDTF">2019-10-20T18:49:00Z</dcterms:created>
  <dcterms:modified xsi:type="dcterms:W3CDTF">2019-10-20T12:59:00Z</dcterms:modified>
</cp:coreProperties>
</file>