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9C7A34"/>
          <w:spacing w:val="60"/>
          <w:sz w:val="60"/>
          <w:szCs w:val="60"/>
        </w:rPr>
        <w:t xml:space="preserve">AURELIA</w:t>
      </w:r>
    </w:p>
    <w:p>
      <w:pPr>
        <w:spacing w:after="60"/>
        <w:jc w:val="center"/>
      </w:pPr>
      <w:r>
        <w:rPr>
          <w:color w:val="0B1424"/>
          <w:sz w:val="26"/>
          <w:szCs w:val="26"/>
        </w:rPr>
        <w:t xml:space="preserve">Executive Presentation Script</w:t>
      </w:r>
    </w:p>
    <w:p>
      <w:pPr>
        <w:spacing w:after="500"/>
        <w:jc w:val="center"/>
      </w:pPr>
      <w:r>
        <w:rPr>
          <w:i/>
          <w:iCs/>
          <w:color w:val="4B5C72"/>
          <w:sz w:val="20"/>
          <w:szCs w:val="20"/>
        </w:rPr>
        <w:t xml:space="preserve">A 10-Minute Management Pitch for the Retail Sales &amp; Expense Predictive Analytics Dashboard</w:t>
      </w:r>
    </w:p>
    <w:p>
      <w:pPr>
        <w:spacing w:after="260"/>
        <w:jc w:val="center"/>
      </w:pPr>
      <w:r>
        <w:rPr>
          <w:b/>
          <w:bCs/>
          <w:color w:val="9C7A34"/>
          <w:sz w:val="20"/>
          <w:szCs w:val="20"/>
        </w:rPr>
        <w:t xml:space="preserve">How to use this script</w:t>
      </w:r>
    </w:p>
    <w:p>
      <w:pPr>
        <w:spacing w:after="40"/>
        <w:jc w:val="center"/>
      </w:pPr>
      <w:r>
        <w:rPr>
          <w:color w:val="4B5C72"/>
          <w:sz w:val="18"/>
          <w:szCs w:val="18"/>
        </w:rPr>
        <w:t xml:space="preserve">Gold-bordered boxes are stage directions — what to click or point to. They are not spoken.</w:t>
      </w:r>
    </w:p>
    <w:p>
      <w:pPr>
        <w:spacing w:after="40"/>
        <w:jc w:val="center"/>
      </w:pPr>
      <w:r>
        <w:rPr>
          <w:color w:val="4B5C72"/>
          <w:sz w:val="18"/>
          <w:szCs w:val="18"/>
        </w:rPr>
        <w:t xml:space="preserve">Everything else is narration, written to be read aloud in a natural, first-person voice.</w:t>
      </w:r>
    </w:p>
    <w:p>
      <w:pPr>
        <w:spacing w:after="40"/>
        <w:jc w:val="center"/>
      </w:pPr>
      <w:r>
        <w:rPr>
          <w:color w:val="4B5C72"/>
          <w:sz w:val="18"/>
          <w:szCs w:val="18"/>
        </w:rPr>
        <w:t xml:space="preserve">Every figure below was pulled live from the dashboard itself — rehearse against the real file, not from memory.</w:t>
      </w:r>
    </w:p>
    <w:p>
      <w:r>
        <w:br w:type="page"/>
      </w:r>
    </w:p>
    <w:p>
      <w:pPr>
        <w:pStyle w:val="Heading1"/>
        <w:pBdr>
          <w:bottom w:val="single" w:color="9C7A34" w:sz="6" w:space="4"/>
        </w:pBdr>
        <w:spacing w:after="140" w:before="320"/>
      </w:pPr>
      <w:r>
        <w:rPr>
          <w:b/>
          <w:bCs/>
          <w:color w:val="0B1424"/>
          <w:sz w:val="28"/>
          <w:szCs w:val="28"/>
        </w:rPr>
        <w:t xml:space="preserve">Timing Cheat-Sheet</w:t>
      </w:r>
    </w:p>
    <w:p>
      <w:pPr>
        <w:spacing w:after="180" w:line="320"/>
      </w:pPr>
      <w:r>
        <w:rPr>
          <w:color w:val="1A1A1A"/>
          <w:sz w:val="23"/>
          <w:szCs w:val="23"/>
        </w:rPr>
        <w:t xml:space="preserve">Target total run time is 10 minutes, including brief pauses to click filters and sliders on screen. Practice once with a timer — the What-If section (6) is the easiest place to run long because the live demo takes real seconds to register.</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400"/>
      </w:tblGrid>
      <w:tr>
        <w:tc>
          <w:tcPr>
            <w:tcW w:type="dxa" w:w="700"/>
            <w:shd w:fill="0B1424" w:val="clear"/>
            <w:tcMar>
              <w:top w:type="dxa" w:w="90"/>
              <w:left w:type="dxa" w:w="110"/>
              <w:bottom w:type="dxa" w:w="90"/>
              <w:right w:type="dxa" w:w="110"/>
            </w:tcMar>
          </w:tcPr>
          <w:p>
            <w:pPr>
              <w:jc w:val="center"/>
            </w:pPr>
            <w:r>
              <w:rPr>
                <w:b/>
                <w:bCs/>
                <w:color w:val="FFFFFF"/>
                <w:sz w:val="19"/>
                <w:szCs w:val="19"/>
              </w:rPr>
              <w:t xml:space="preserve">#</w:t>
            </w:r>
          </w:p>
        </w:tc>
        <w:tc>
          <w:tcPr>
            <w:tcW w:type="dxa" w:w="3400"/>
            <w:shd w:fill="0B1424" w:val="clear"/>
            <w:tcMar>
              <w:top w:type="dxa" w:w="90"/>
              <w:left w:type="dxa" w:w="110"/>
              <w:bottom w:type="dxa" w:w="90"/>
              <w:right w:type="dxa" w:w="110"/>
            </w:tcMar>
          </w:tcPr>
          <w:p>
            <w:pPr>
              <w:jc w:val="left"/>
            </w:pPr>
            <w:r>
              <w:rPr>
                <w:b/>
                <w:bCs/>
                <w:color w:val="FFFFFF"/>
                <w:sz w:val="19"/>
                <w:szCs w:val="19"/>
              </w:rPr>
              <w:t xml:space="preserve">Section</w:t>
            </w:r>
          </w:p>
        </w:tc>
        <w:tc>
          <w:tcPr>
            <w:tcW w:type="dxa" w:w="1400"/>
            <w:shd w:fill="0B1424" w:val="clear"/>
            <w:tcMar>
              <w:top w:type="dxa" w:w="90"/>
              <w:left w:type="dxa" w:w="110"/>
              <w:bottom w:type="dxa" w:w="90"/>
              <w:right w:type="dxa" w:w="110"/>
            </w:tcMar>
          </w:tcPr>
          <w:p>
            <w:pPr>
              <w:jc w:val="center"/>
            </w:pPr>
            <w:r>
              <w:rPr>
                <w:b/>
                <w:bCs/>
                <w:color w:val="FFFFFF"/>
                <w:sz w:val="19"/>
                <w:szCs w:val="19"/>
              </w:rPr>
              <w:t xml:space="preserve">Target</w:t>
            </w:r>
          </w:p>
        </w:tc>
        <w:tc>
          <w:tcPr>
            <w:tcW w:type="dxa" w:w="1400"/>
            <w:shd w:fill="0B1424" w:val="clear"/>
            <w:tcMar>
              <w:top w:type="dxa" w:w="90"/>
              <w:left w:type="dxa" w:w="110"/>
              <w:bottom w:type="dxa" w:w="90"/>
              <w:right w:type="dxa" w:w="110"/>
            </w:tcMar>
          </w:tcPr>
          <w:p>
            <w:pPr>
              <w:jc w:val="center"/>
            </w:pPr>
            <w:r>
              <w:rPr>
                <w:b/>
                <w:bCs/>
                <w:color w:val="FFFFFF"/>
                <w:sz w:val="19"/>
                <w:szCs w:val="19"/>
              </w:rPr>
              <w:t xml:space="preserve">Cumulative</w:t>
            </w:r>
          </w:p>
        </w:tc>
      </w:tr>
      <w:tr>
        <w:tc>
          <w:tcPr>
            <w:tcW w:type="dxa" w:w="700"/>
            <w:tcMar>
              <w:top w:type="dxa" w:w="90"/>
              <w:left w:type="dxa" w:w="110"/>
              <w:bottom w:type="dxa" w:w="90"/>
              <w:right w:type="dxa" w:w="110"/>
            </w:tcMar>
          </w:tcPr>
          <w:p>
            <w:pPr>
              <w:jc w:val="center"/>
            </w:pPr>
            <w:r>
              <w:rPr>
                <w:b w:val="false"/>
                <w:bCs w:val="false"/>
                <w:color w:val="1A1A1A"/>
                <w:sz w:val="19"/>
                <w:szCs w:val="19"/>
              </w:rPr>
              <w:t xml:space="preserve">1</w:t>
            </w:r>
          </w:p>
        </w:tc>
        <w:tc>
          <w:tcPr>
            <w:tcW w:type="dxa" w:w="3400"/>
            <w:tcMar>
              <w:top w:type="dxa" w:w="90"/>
              <w:left w:type="dxa" w:w="110"/>
              <w:bottom w:type="dxa" w:w="90"/>
              <w:right w:type="dxa" w:w="110"/>
            </w:tcMar>
          </w:tcPr>
          <w:p>
            <w:pPr>
              <w:jc w:val="left"/>
            </w:pPr>
            <w:r>
              <w:rPr>
                <w:b w:val="false"/>
                <w:bCs w:val="false"/>
                <w:color w:val="1A1A1A"/>
                <w:sz w:val="19"/>
                <w:szCs w:val="19"/>
              </w:rPr>
              <w:t xml:space="preserve">The Business Problem</w:t>
            </w:r>
          </w:p>
        </w:tc>
        <w:tc>
          <w:tcPr>
            <w:tcW w:type="dxa" w:w="1400"/>
            <w:tcMar>
              <w:top w:type="dxa" w:w="90"/>
              <w:left w:type="dxa" w:w="110"/>
              <w:bottom w:type="dxa" w:w="90"/>
              <w:right w:type="dxa" w:w="110"/>
            </w:tcMar>
          </w:tcPr>
          <w:p>
            <w:pPr>
              <w:jc w:val="center"/>
            </w:pPr>
            <w:r>
              <w:rPr>
                <w:b w:val="false"/>
                <w:bCs w:val="false"/>
                <w:color w:val="1A1A1A"/>
                <w:sz w:val="19"/>
                <w:szCs w:val="19"/>
              </w:rPr>
              <w:t xml:space="preserve">0:50</w:t>
            </w:r>
          </w:p>
        </w:tc>
        <w:tc>
          <w:tcPr>
            <w:tcW w:type="dxa" w:w="1400"/>
            <w:tcMar>
              <w:top w:type="dxa" w:w="90"/>
              <w:left w:type="dxa" w:w="110"/>
              <w:bottom w:type="dxa" w:w="90"/>
              <w:right w:type="dxa" w:w="110"/>
            </w:tcMar>
          </w:tcPr>
          <w:p>
            <w:pPr>
              <w:jc w:val="center"/>
            </w:pPr>
            <w:r>
              <w:rPr>
                <w:b w:val="false"/>
                <w:bCs w:val="false"/>
                <w:color w:val="1A1A1A"/>
                <w:sz w:val="19"/>
                <w:szCs w:val="19"/>
              </w:rPr>
              <w:t xml:space="preserve">0:50</w:t>
            </w:r>
          </w:p>
        </w:tc>
      </w:tr>
      <w:tr>
        <w:tc>
          <w:tcPr>
            <w:tcW w:type="dxa" w:w="700"/>
            <w:tcMar>
              <w:top w:type="dxa" w:w="90"/>
              <w:left w:type="dxa" w:w="110"/>
              <w:bottom w:type="dxa" w:w="90"/>
              <w:right w:type="dxa" w:w="110"/>
            </w:tcMar>
          </w:tcPr>
          <w:p>
            <w:pPr>
              <w:jc w:val="center"/>
            </w:pPr>
            <w:r>
              <w:rPr>
                <w:b w:val="false"/>
                <w:bCs w:val="false"/>
                <w:color w:val="1A1A1A"/>
                <w:sz w:val="19"/>
                <w:szCs w:val="19"/>
              </w:rPr>
              <w:t xml:space="preserve">2</w:t>
            </w:r>
          </w:p>
        </w:tc>
        <w:tc>
          <w:tcPr>
            <w:tcW w:type="dxa" w:w="3400"/>
            <w:tcMar>
              <w:top w:type="dxa" w:w="90"/>
              <w:left w:type="dxa" w:w="110"/>
              <w:bottom w:type="dxa" w:w="90"/>
              <w:right w:type="dxa" w:w="110"/>
            </w:tcMar>
          </w:tcPr>
          <w:p>
            <w:pPr>
              <w:jc w:val="left"/>
            </w:pPr>
            <w:r>
              <w:rPr>
                <w:b w:val="false"/>
                <w:bCs w:val="false"/>
                <w:color w:val="1A1A1A"/>
                <w:sz w:val="19"/>
                <w:szCs w:val="19"/>
              </w:rPr>
              <w:t xml:space="preserve">Dashboard Walkthrough</w:t>
            </w:r>
          </w:p>
        </w:tc>
        <w:tc>
          <w:tcPr>
            <w:tcW w:type="dxa" w:w="1400"/>
            <w:tcMar>
              <w:top w:type="dxa" w:w="90"/>
              <w:left w:type="dxa" w:w="110"/>
              <w:bottom w:type="dxa" w:w="90"/>
              <w:right w:type="dxa" w:w="110"/>
            </w:tcMar>
          </w:tcPr>
          <w:p>
            <w:pPr>
              <w:jc w:val="center"/>
            </w:pPr>
            <w:r>
              <w:rPr>
                <w:b w:val="false"/>
                <w:bCs w:val="false"/>
                <w:color w:val="1A1A1A"/>
                <w:sz w:val="19"/>
                <w:szCs w:val="19"/>
              </w:rPr>
              <w:t xml:space="preserve">1:25</w:t>
            </w:r>
          </w:p>
        </w:tc>
        <w:tc>
          <w:tcPr>
            <w:tcW w:type="dxa" w:w="1400"/>
            <w:tcMar>
              <w:top w:type="dxa" w:w="90"/>
              <w:left w:type="dxa" w:w="110"/>
              <w:bottom w:type="dxa" w:w="90"/>
              <w:right w:type="dxa" w:w="110"/>
            </w:tcMar>
          </w:tcPr>
          <w:p>
            <w:pPr>
              <w:jc w:val="center"/>
            </w:pPr>
            <w:r>
              <w:rPr>
                <w:b w:val="false"/>
                <w:bCs w:val="false"/>
                <w:color w:val="1A1A1A"/>
                <w:sz w:val="19"/>
                <w:szCs w:val="19"/>
              </w:rPr>
              <w:t xml:space="preserve">2:15</w:t>
            </w:r>
          </w:p>
        </w:tc>
      </w:tr>
      <w:tr>
        <w:tc>
          <w:tcPr>
            <w:tcW w:type="dxa" w:w="700"/>
            <w:tcMar>
              <w:top w:type="dxa" w:w="90"/>
              <w:left w:type="dxa" w:w="110"/>
              <w:bottom w:type="dxa" w:w="90"/>
              <w:right w:type="dxa" w:w="110"/>
            </w:tcMar>
          </w:tcPr>
          <w:p>
            <w:pPr>
              <w:jc w:val="center"/>
            </w:pPr>
            <w:r>
              <w:rPr>
                <w:b w:val="false"/>
                <w:bCs w:val="false"/>
                <w:color w:val="1A1A1A"/>
                <w:sz w:val="19"/>
                <w:szCs w:val="19"/>
              </w:rPr>
              <w:t xml:space="preserve">3</w:t>
            </w:r>
          </w:p>
        </w:tc>
        <w:tc>
          <w:tcPr>
            <w:tcW w:type="dxa" w:w="3400"/>
            <w:tcMar>
              <w:top w:type="dxa" w:w="90"/>
              <w:left w:type="dxa" w:w="110"/>
              <w:bottom w:type="dxa" w:w="90"/>
              <w:right w:type="dxa" w:w="110"/>
            </w:tcMar>
          </w:tcPr>
          <w:p>
            <w:pPr>
              <w:jc w:val="left"/>
            </w:pPr>
            <w:r>
              <w:rPr>
                <w:b w:val="false"/>
                <w:bCs w:val="false"/>
                <w:color w:val="1A1A1A"/>
                <w:sz w:val="19"/>
                <w:szCs w:val="19"/>
              </w:rPr>
              <w:t xml:space="preserve">The Predictive Model</w:t>
            </w:r>
          </w:p>
        </w:tc>
        <w:tc>
          <w:tcPr>
            <w:tcW w:type="dxa" w:w="1400"/>
            <w:tcMar>
              <w:top w:type="dxa" w:w="90"/>
              <w:left w:type="dxa" w:w="110"/>
              <w:bottom w:type="dxa" w:w="90"/>
              <w:right w:type="dxa" w:w="110"/>
            </w:tcMar>
          </w:tcPr>
          <w:p>
            <w:pPr>
              <w:jc w:val="center"/>
            </w:pPr>
            <w:r>
              <w:rPr>
                <w:b w:val="false"/>
                <w:bCs w:val="false"/>
                <w:color w:val="1A1A1A"/>
                <w:sz w:val="19"/>
                <w:szCs w:val="19"/>
              </w:rPr>
              <w:t xml:space="preserve">1:15</w:t>
            </w:r>
          </w:p>
        </w:tc>
        <w:tc>
          <w:tcPr>
            <w:tcW w:type="dxa" w:w="1400"/>
            <w:tcMar>
              <w:top w:type="dxa" w:w="90"/>
              <w:left w:type="dxa" w:w="110"/>
              <w:bottom w:type="dxa" w:w="90"/>
              <w:right w:type="dxa" w:w="110"/>
            </w:tcMar>
          </w:tcPr>
          <w:p>
            <w:pPr>
              <w:jc w:val="center"/>
            </w:pPr>
            <w:r>
              <w:rPr>
                <w:b w:val="false"/>
                <w:bCs w:val="false"/>
                <w:color w:val="1A1A1A"/>
                <w:sz w:val="19"/>
                <w:szCs w:val="19"/>
              </w:rPr>
              <w:t xml:space="preserve">3:30</w:t>
            </w:r>
          </w:p>
        </w:tc>
      </w:tr>
      <w:tr>
        <w:tc>
          <w:tcPr>
            <w:tcW w:type="dxa" w:w="700"/>
            <w:tcMar>
              <w:top w:type="dxa" w:w="90"/>
              <w:left w:type="dxa" w:w="110"/>
              <w:bottom w:type="dxa" w:w="90"/>
              <w:right w:type="dxa" w:w="110"/>
            </w:tcMar>
          </w:tcPr>
          <w:p>
            <w:pPr>
              <w:jc w:val="center"/>
            </w:pPr>
            <w:r>
              <w:rPr>
                <w:b w:val="false"/>
                <w:bCs w:val="false"/>
                <w:color w:val="1A1A1A"/>
                <w:sz w:val="19"/>
                <w:szCs w:val="19"/>
              </w:rPr>
              <w:t xml:space="preserve">4</w:t>
            </w:r>
          </w:p>
        </w:tc>
        <w:tc>
          <w:tcPr>
            <w:tcW w:type="dxa" w:w="3400"/>
            <w:tcMar>
              <w:top w:type="dxa" w:w="90"/>
              <w:left w:type="dxa" w:w="110"/>
              <w:bottom w:type="dxa" w:w="90"/>
              <w:right w:type="dxa" w:w="110"/>
            </w:tcMar>
          </w:tcPr>
          <w:p>
            <w:pPr>
              <w:jc w:val="left"/>
            </w:pPr>
            <w:r>
              <w:rPr>
                <w:b w:val="false"/>
                <w:bCs w:val="false"/>
                <w:color w:val="1A1A1A"/>
                <w:sz w:val="19"/>
                <w:szCs w:val="19"/>
              </w:rPr>
              <w:t xml:space="preserve">Statistical Methods in Action</w:t>
            </w:r>
          </w:p>
        </w:tc>
        <w:tc>
          <w:tcPr>
            <w:tcW w:type="dxa" w:w="1400"/>
            <w:tcMar>
              <w:top w:type="dxa" w:w="90"/>
              <w:left w:type="dxa" w:w="110"/>
              <w:bottom w:type="dxa" w:w="90"/>
              <w:right w:type="dxa" w:w="110"/>
            </w:tcMar>
          </w:tcPr>
          <w:p>
            <w:pPr>
              <w:jc w:val="center"/>
            </w:pPr>
            <w:r>
              <w:rPr>
                <w:b w:val="false"/>
                <w:bCs w:val="false"/>
                <w:color w:val="1A1A1A"/>
                <w:sz w:val="19"/>
                <w:szCs w:val="19"/>
              </w:rPr>
              <w:t xml:space="preserve">1:55</w:t>
            </w:r>
          </w:p>
        </w:tc>
        <w:tc>
          <w:tcPr>
            <w:tcW w:type="dxa" w:w="1400"/>
            <w:tcMar>
              <w:top w:type="dxa" w:w="90"/>
              <w:left w:type="dxa" w:w="110"/>
              <w:bottom w:type="dxa" w:w="90"/>
              <w:right w:type="dxa" w:w="110"/>
            </w:tcMar>
          </w:tcPr>
          <w:p>
            <w:pPr>
              <w:jc w:val="center"/>
            </w:pPr>
            <w:r>
              <w:rPr>
                <w:b w:val="false"/>
                <w:bCs w:val="false"/>
                <w:color w:val="1A1A1A"/>
                <w:sz w:val="19"/>
                <w:szCs w:val="19"/>
              </w:rPr>
              <w:t xml:space="preserve">5:25</w:t>
            </w:r>
          </w:p>
        </w:tc>
      </w:tr>
      <w:tr>
        <w:tc>
          <w:tcPr>
            <w:tcW w:type="dxa" w:w="700"/>
            <w:tcMar>
              <w:top w:type="dxa" w:w="90"/>
              <w:left w:type="dxa" w:w="110"/>
              <w:bottom w:type="dxa" w:w="90"/>
              <w:right w:type="dxa" w:w="110"/>
            </w:tcMar>
          </w:tcPr>
          <w:p>
            <w:pPr>
              <w:jc w:val="center"/>
            </w:pPr>
            <w:r>
              <w:rPr>
                <w:b w:val="false"/>
                <w:bCs w:val="false"/>
                <w:color w:val="1A1A1A"/>
                <w:sz w:val="19"/>
                <w:szCs w:val="19"/>
              </w:rPr>
              <w:t xml:space="preserve">5</w:t>
            </w:r>
          </w:p>
        </w:tc>
        <w:tc>
          <w:tcPr>
            <w:tcW w:type="dxa" w:w="3400"/>
            <w:tcMar>
              <w:top w:type="dxa" w:w="90"/>
              <w:left w:type="dxa" w:w="110"/>
              <w:bottom w:type="dxa" w:w="90"/>
              <w:right w:type="dxa" w:w="110"/>
            </w:tcMar>
          </w:tcPr>
          <w:p>
            <w:pPr>
              <w:jc w:val="left"/>
            </w:pPr>
            <w:r>
              <w:rPr>
                <w:b w:val="false"/>
                <w:bCs w:val="false"/>
                <w:color w:val="1A1A1A"/>
                <w:sz w:val="19"/>
                <w:szCs w:val="19"/>
              </w:rPr>
              <w:t xml:space="preserve">Model Validation</w:t>
            </w:r>
          </w:p>
        </w:tc>
        <w:tc>
          <w:tcPr>
            <w:tcW w:type="dxa" w:w="1400"/>
            <w:tcMar>
              <w:top w:type="dxa" w:w="90"/>
              <w:left w:type="dxa" w:w="110"/>
              <w:bottom w:type="dxa" w:w="90"/>
              <w:right w:type="dxa" w:w="110"/>
            </w:tcMar>
          </w:tcPr>
          <w:p>
            <w:pPr>
              <w:jc w:val="center"/>
            </w:pPr>
            <w:r>
              <w:rPr>
                <w:b w:val="false"/>
                <w:bCs w:val="false"/>
                <w:color w:val="1A1A1A"/>
                <w:sz w:val="19"/>
                <w:szCs w:val="19"/>
              </w:rPr>
              <w:t xml:space="preserve">1:20</w:t>
            </w:r>
          </w:p>
        </w:tc>
        <w:tc>
          <w:tcPr>
            <w:tcW w:type="dxa" w:w="1400"/>
            <w:tcMar>
              <w:top w:type="dxa" w:w="90"/>
              <w:left w:type="dxa" w:w="110"/>
              <w:bottom w:type="dxa" w:w="90"/>
              <w:right w:type="dxa" w:w="110"/>
            </w:tcMar>
          </w:tcPr>
          <w:p>
            <w:pPr>
              <w:jc w:val="center"/>
            </w:pPr>
            <w:r>
              <w:rPr>
                <w:b w:val="false"/>
                <w:bCs w:val="false"/>
                <w:color w:val="1A1A1A"/>
                <w:sz w:val="19"/>
                <w:szCs w:val="19"/>
              </w:rPr>
              <w:t xml:space="preserve">6:45</w:t>
            </w:r>
          </w:p>
        </w:tc>
      </w:tr>
      <w:tr>
        <w:tc>
          <w:tcPr>
            <w:tcW w:type="dxa" w:w="700"/>
            <w:tcMar>
              <w:top w:type="dxa" w:w="90"/>
              <w:left w:type="dxa" w:w="110"/>
              <w:bottom w:type="dxa" w:w="90"/>
              <w:right w:type="dxa" w:w="110"/>
            </w:tcMar>
          </w:tcPr>
          <w:p>
            <w:pPr>
              <w:jc w:val="center"/>
            </w:pPr>
            <w:r>
              <w:rPr>
                <w:b w:val="false"/>
                <w:bCs w:val="false"/>
                <w:color w:val="1A1A1A"/>
                <w:sz w:val="19"/>
                <w:szCs w:val="19"/>
              </w:rPr>
              <w:t xml:space="preserve">6</w:t>
            </w:r>
          </w:p>
        </w:tc>
        <w:tc>
          <w:tcPr>
            <w:tcW w:type="dxa" w:w="3400"/>
            <w:tcMar>
              <w:top w:type="dxa" w:w="90"/>
              <w:left w:type="dxa" w:w="110"/>
              <w:bottom w:type="dxa" w:w="90"/>
              <w:right w:type="dxa" w:w="110"/>
            </w:tcMar>
          </w:tcPr>
          <w:p>
            <w:pPr>
              <w:jc w:val="left"/>
            </w:pPr>
            <w:r>
              <w:rPr>
                <w:b w:val="false"/>
                <w:bCs w:val="false"/>
                <w:color w:val="1A1A1A"/>
                <w:sz w:val="19"/>
                <w:szCs w:val="19"/>
              </w:rPr>
              <w:t xml:space="preserve">What-If Analysis (Live)</w:t>
            </w:r>
          </w:p>
        </w:tc>
        <w:tc>
          <w:tcPr>
            <w:tcW w:type="dxa" w:w="1400"/>
            <w:tcMar>
              <w:top w:type="dxa" w:w="90"/>
              <w:left w:type="dxa" w:w="110"/>
              <w:bottom w:type="dxa" w:w="90"/>
              <w:right w:type="dxa" w:w="110"/>
            </w:tcMar>
          </w:tcPr>
          <w:p>
            <w:pPr>
              <w:jc w:val="center"/>
            </w:pPr>
            <w:r>
              <w:rPr>
                <w:b w:val="false"/>
                <w:bCs w:val="false"/>
                <w:color w:val="1A1A1A"/>
                <w:sz w:val="19"/>
                <w:szCs w:val="19"/>
              </w:rPr>
              <w:t xml:space="preserve">1:40</w:t>
            </w:r>
          </w:p>
        </w:tc>
        <w:tc>
          <w:tcPr>
            <w:tcW w:type="dxa" w:w="1400"/>
            <w:tcMar>
              <w:top w:type="dxa" w:w="90"/>
              <w:left w:type="dxa" w:w="110"/>
              <w:bottom w:type="dxa" w:w="90"/>
              <w:right w:type="dxa" w:w="110"/>
            </w:tcMar>
          </w:tcPr>
          <w:p>
            <w:pPr>
              <w:jc w:val="center"/>
            </w:pPr>
            <w:r>
              <w:rPr>
                <w:b w:val="false"/>
                <w:bCs w:val="false"/>
                <w:color w:val="1A1A1A"/>
                <w:sz w:val="19"/>
                <w:szCs w:val="19"/>
              </w:rPr>
              <w:t xml:space="preserve">8:25</w:t>
            </w:r>
          </w:p>
        </w:tc>
      </w:tr>
      <w:tr>
        <w:tc>
          <w:tcPr>
            <w:tcW w:type="dxa" w:w="700"/>
            <w:tcMar>
              <w:top w:type="dxa" w:w="90"/>
              <w:left w:type="dxa" w:w="110"/>
              <w:bottom w:type="dxa" w:w="90"/>
              <w:right w:type="dxa" w:w="110"/>
            </w:tcMar>
          </w:tcPr>
          <w:p>
            <w:pPr>
              <w:jc w:val="center"/>
            </w:pPr>
            <w:r>
              <w:rPr>
                <w:b w:val="false"/>
                <w:bCs w:val="false"/>
                <w:color w:val="1A1A1A"/>
                <w:sz w:val="19"/>
                <w:szCs w:val="19"/>
              </w:rPr>
              <w:t xml:space="preserve">7</w:t>
            </w:r>
          </w:p>
        </w:tc>
        <w:tc>
          <w:tcPr>
            <w:tcW w:type="dxa" w:w="3400"/>
            <w:tcMar>
              <w:top w:type="dxa" w:w="90"/>
              <w:left w:type="dxa" w:w="110"/>
              <w:bottom w:type="dxa" w:w="90"/>
              <w:right w:type="dxa" w:w="110"/>
            </w:tcMar>
          </w:tcPr>
          <w:p>
            <w:pPr>
              <w:jc w:val="left"/>
            </w:pPr>
            <w:r>
              <w:rPr>
                <w:b w:val="false"/>
                <w:bCs w:val="false"/>
                <w:color w:val="1A1A1A"/>
                <w:sz w:val="19"/>
                <w:szCs w:val="19"/>
              </w:rPr>
              <w:t xml:space="preserve">Management Recommendation</w:t>
            </w:r>
          </w:p>
        </w:tc>
        <w:tc>
          <w:tcPr>
            <w:tcW w:type="dxa" w:w="1400"/>
            <w:tcMar>
              <w:top w:type="dxa" w:w="90"/>
              <w:left w:type="dxa" w:w="110"/>
              <w:bottom w:type="dxa" w:w="90"/>
              <w:right w:type="dxa" w:w="110"/>
            </w:tcMar>
          </w:tcPr>
          <w:p>
            <w:pPr>
              <w:jc w:val="center"/>
            </w:pPr>
            <w:r>
              <w:rPr>
                <w:b w:val="false"/>
                <w:bCs w:val="false"/>
                <w:color w:val="1A1A1A"/>
                <w:sz w:val="19"/>
                <w:szCs w:val="19"/>
              </w:rPr>
              <w:t xml:space="preserve">1:30</w:t>
            </w:r>
          </w:p>
        </w:tc>
        <w:tc>
          <w:tcPr>
            <w:tcW w:type="dxa" w:w="1400"/>
            <w:tcMar>
              <w:top w:type="dxa" w:w="90"/>
              <w:left w:type="dxa" w:w="110"/>
              <w:bottom w:type="dxa" w:w="90"/>
              <w:right w:type="dxa" w:w="110"/>
            </w:tcMar>
          </w:tcPr>
          <w:p>
            <w:pPr>
              <w:jc w:val="center"/>
            </w:pPr>
            <w:r>
              <w:rPr>
                <w:b w:val="false"/>
                <w:bCs w:val="false"/>
                <w:color w:val="1A1A1A"/>
                <w:sz w:val="19"/>
                <w:szCs w:val="19"/>
              </w:rPr>
              <w:t xml:space="preserve">9:55</w:t>
            </w:r>
          </w:p>
        </w:tc>
      </w:tr>
      <w:tr>
        <w:tc>
          <w:tcPr>
            <w:tcW w:type="dxa" w:w="700"/>
            <w:shd w:fill="F4F0E4" w:val="clear"/>
            <w:tcMar>
              <w:top w:type="dxa" w:w="90"/>
              <w:left w:type="dxa" w:w="110"/>
              <w:bottom w:type="dxa" w:w="90"/>
              <w:right w:type="dxa" w:w="110"/>
            </w:tcMar>
          </w:tcPr>
          <w:p>
            <w:pPr>
              <w:jc w:val="left"/>
            </w:pPr>
            <w:r>
              <w:rPr>
                <w:b/>
                <w:bCs/>
                <w:color w:val="1A1A1A"/>
                <w:sz w:val="19"/>
                <w:szCs w:val="19"/>
              </w:rPr>
              <w:t xml:space="preserve"/>
            </w:r>
          </w:p>
        </w:tc>
        <w:tc>
          <w:tcPr>
            <w:tcW w:type="dxa" w:w="3400"/>
            <w:shd w:fill="F4F0E4" w:val="clear"/>
            <w:tcMar>
              <w:top w:type="dxa" w:w="90"/>
              <w:left w:type="dxa" w:w="110"/>
              <w:bottom w:type="dxa" w:w="90"/>
              <w:right w:type="dxa" w:w="110"/>
            </w:tcMar>
          </w:tcPr>
          <w:p>
            <w:pPr>
              <w:jc w:val="left"/>
            </w:pPr>
            <w:r>
              <w:rPr>
                <w:b/>
                <w:bCs/>
                <w:color w:val="1A1A1A"/>
                <w:sz w:val="19"/>
                <w:szCs w:val="19"/>
              </w:rPr>
              <w:t xml:space="preserve">Total run time</w:t>
            </w:r>
          </w:p>
        </w:tc>
        <w:tc>
          <w:tcPr>
            <w:tcW w:type="dxa" w:w="1400"/>
            <w:shd w:fill="F4F0E4" w:val="clear"/>
            <w:tcMar>
              <w:top w:type="dxa" w:w="90"/>
              <w:left w:type="dxa" w:w="110"/>
              <w:bottom w:type="dxa" w:w="90"/>
              <w:right w:type="dxa" w:w="110"/>
            </w:tcMar>
          </w:tcPr>
          <w:p>
            <w:pPr>
              <w:jc w:val="left"/>
            </w:pPr>
            <w:r>
              <w:rPr>
                <w:b/>
                <w:bCs/>
                <w:color w:val="1A1A1A"/>
                <w:sz w:val="19"/>
                <w:szCs w:val="19"/>
              </w:rPr>
              <w:t xml:space="preserve"/>
            </w:r>
          </w:p>
        </w:tc>
        <w:tc>
          <w:tcPr>
            <w:tcW w:type="dxa" w:w="1400"/>
            <w:shd w:fill="F4F0E4" w:val="clear"/>
            <w:tcMar>
              <w:top w:type="dxa" w:w="90"/>
              <w:left w:type="dxa" w:w="110"/>
              <w:bottom w:type="dxa" w:w="90"/>
              <w:right w:type="dxa" w:w="110"/>
            </w:tcMar>
          </w:tcPr>
          <w:p>
            <w:pPr>
              <w:jc w:val="center"/>
            </w:pPr>
            <w:r>
              <w:rPr>
                <w:b/>
                <w:bCs/>
                <w:color w:val="1A1A1A"/>
                <w:sz w:val="19"/>
                <w:szCs w:val="19"/>
              </w:rPr>
              <w:t xml:space="preserve">~9:55–10:00</w:t>
            </w:r>
          </w:p>
        </w:tc>
      </w:tr>
    </w:tbl>
    <w:p>
      <w:pPr>
        <w:pStyle w:val="Heading1"/>
        <w:shd w:fill="0B1424" w:val="clear"/>
        <w:spacing w:after="40" w:before="420"/>
      </w:pPr>
      <w:r>
        <w:rPr>
          <w:b/>
          <w:bCs/>
          <w:color w:val="FFFFFF"/>
          <w:sz w:val="25"/>
          <w:szCs w:val="25"/>
        </w:rPr>
        <w:t xml:space="preserve">  1.  The Business Problem</w:t>
      </w:r>
      <w:r>
        <w:rPr>
          <w:b/>
          <w:bCs/>
          <w:color w:val="E8C886"/>
          <w:sz w:val="19"/>
          <w:szCs w:val="19"/>
        </w:rPr>
        <w:t xml:space="preserve">   (0:50)  </w:t>
      </w:r>
    </w:p>
    <w:p>
      <w:pPr>
        <w:spacing w:after="180" w:line="320"/>
      </w:pPr>
      <w:r>
        <w:rPr>
          <w:color w:val="1A1A1A"/>
          <w:sz w:val="23"/>
          <w:szCs w:val="23"/>
        </w:rPr>
        <w:t xml:space="preserve">Good morning, everyone. Today I want to walk you through Aurelia — the platform we've built to answer three questions this room asks every quarter: are we actually winning or just growing, where exactly is money leaking, and can we see trouble coming before it hits the P&amp;L?</w:t>
      </w:r>
    </w:p>
    <w:p>
      <w:pPr>
        <w:spacing w:after="180" w:line="320"/>
      </w:pPr>
      <w:r>
        <w:rPr>
          <w:color w:val="1A1A1A"/>
          <w:sz w:val="23"/>
          <w:szCs w:val="23"/>
        </w:rPr>
        <w:t xml:space="preserve">Here's the tension right now: sales are running nine and a half percent ahead of budget — that sounds great — but expenses are ten percent ahead too. Expenses growing faster than sales is exactly how a business posts record revenue and still misses its margin target. So the real question isn't whether we're ahead of plan, it's why, and whether it's sustainable. That's what this dashboard answers — with the same numbers already running the stores every week.</w:t>
      </w:r>
    </w:p>
    <w:p>
      <w:pPr>
        <w:pStyle w:val="Heading1"/>
        <w:shd w:fill="0B1424" w:val="clear"/>
        <w:spacing w:after="40" w:before="420"/>
      </w:pPr>
      <w:r>
        <w:rPr>
          <w:b/>
          <w:bCs/>
          <w:color w:val="FFFFFF"/>
          <w:sz w:val="25"/>
          <w:szCs w:val="25"/>
        </w:rPr>
        <w:t xml:space="preserve">  2.  Dashboard Walkthrough</w:t>
      </w:r>
      <w:r>
        <w:rPr>
          <w:b/>
          <w:bCs/>
          <w:color w:val="E8C886"/>
          <w:sz w:val="19"/>
          <w:szCs w:val="19"/>
        </w:rPr>
        <w:t xml:space="preserve">   (1:25)  </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Open the dashboard to the top of the page. Let it sit on the header and Key Alerts banner for a beat.</w:t>
      </w:r>
    </w:p>
    <w:p>
      <w:pPr>
        <w:spacing w:after="180" w:line="320"/>
      </w:pPr>
      <w:r>
        <w:rPr>
          <w:color w:val="1A1A1A"/>
          <w:sz w:val="23"/>
          <w:szCs w:val="23"/>
        </w:rPr>
        <w:t xml:space="preserve">Let's open it up. This is Aurelia. Everything here runs off one embedded dataset — three thousand three hundred twenty-eight weekly records across eight stores, four categories, two years — nothing to upload, nothing to wait on.</w:t>
      </w:r>
    </w:p>
    <w:p>
      <w:pPr>
        <w:spacing w:after="180" w:line="320"/>
      </w:pPr>
      <w:r>
        <w:rPr>
          <w:color w:val="1A1A1A"/>
          <w:sz w:val="23"/>
          <w:szCs w:val="23"/>
        </w:rPr>
        <w:t xml:space="preserve">The first thing you see isn't a chart, it's this: Key Alerts and Anomalies. Right now it's flagging two critical issues and one warning, automatically, off the live numbers — Health and Beauty and Apparel discounting is actively cutting into margin, and Electronics is paying almost three times as much to acquire a customer as Health and Beauty is. Anyone opening this on a Monday morning knows in five seconds where to look first.</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Click one filter chip (e.g. a Region) to show the whole page recalculate, then clear it.</w:t>
      </w:r>
    </w:p>
    <w:p>
      <w:pPr>
        <w:spacing w:after="180" w:line="320"/>
      </w:pPr>
      <w:r>
        <w:rPr>
          <w:color w:val="1A1A1A"/>
          <w:sz w:val="23"/>
          <w:szCs w:val="23"/>
        </w:rPr>
        <w:t xml:space="preserve">Above that, a filter bar — Region, Store Format, Category. Click any of these and the whole dashboard — every chart, every regression, every recommendation — recalculates instantly on just that slice. So if a regional VP wants her numbers only, it's not a separate report, it's the same model, filtered.</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Scroll slowly past the six nav tabs: Executive KPIs, Past, Diagnostic, Predictive, Uncertainty, Decision, Recommendation.</w:t>
      </w:r>
    </w:p>
    <w:p>
      <w:pPr>
        <w:spacing w:after="180" w:line="320"/>
      </w:pPr>
      <w:r>
        <w:rPr>
          <w:color w:val="1A1A1A"/>
          <w:sz w:val="23"/>
          <w:szCs w:val="23"/>
        </w:rPr>
        <w:t xml:space="preserve">Below that, one storyline across six tabs: Past — what happened; Diagnostic — why; Predictive — what's next; Uncertainty — how much to trust it; Decision — what if we change something; Recommendation — what to actually do. Let's walk it in that order.</w:t>
      </w:r>
    </w:p>
    <w:p>
      <w:pPr>
        <w:pStyle w:val="Heading1"/>
        <w:shd w:fill="0B1424" w:val="clear"/>
        <w:spacing w:after="40" w:before="420"/>
      </w:pPr>
      <w:r>
        <w:rPr>
          <w:b/>
          <w:bCs/>
          <w:color w:val="FFFFFF"/>
          <w:sz w:val="25"/>
          <w:szCs w:val="25"/>
        </w:rPr>
        <w:t xml:space="preserve">  3.  The Predictive Model</w:t>
      </w:r>
      <w:r>
        <w:rPr>
          <w:b/>
          <w:bCs/>
          <w:color w:val="E8C886"/>
          <w:sz w:val="19"/>
          <w:szCs w:val="19"/>
        </w:rPr>
        <w:t xml:space="preserve">   (1:15)  </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Scroll to the Predictive tab and hold on the two “Driver Coefficients” tables.</w:t>
      </w:r>
    </w:p>
    <w:p>
      <w:pPr>
        <w:spacing w:after="180" w:line="320"/>
      </w:pPr>
      <w:r>
        <w:rPr>
          <w:color w:val="1A1A1A"/>
          <w:sz w:val="23"/>
          <w:szCs w:val="23"/>
        </w:rPr>
        <w:t xml:space="preserve">Before I show the forecast, I want to be straight about what's driving it — a forecast nobody understands doesn't get acted on.</w:t>
      </w:r>
    </w:p>
    <w:p>
      <w:pPr>
        <w:spacing w:after="180" w:line="320"/>
      </w:pPr>
      <w:r>
        <w:rPr>
          <w:color w:val="1A1A1A"/>
          <w:sz w:val="23"/>
          <w:szCs w:val="23"/>
        </w:rPr>
        <w:t xml:space="preserve">We're running two regressions, one for sales, one for expenses, each built only on the drivers that actually move the number. Sales is driven by foot traffic, conversion rate, marketing spend, discount rate, average transaction value, the consumer confidence index, and whether it's a holiday week. Expense is driven by labour hours, average hourly wage, the COGS rate, marketing spend again, sales revenue itself — because cost of goods scales with what you sell — plus rent and utilities.</w:t>
      </w:r>
    </w:p>
    <w:p>
      <w:pPr>
        <w:spacing w:after="180" w:line="320"/>
      </w:pPr>
      <w:r>
        <w:rPr>
          <w:color w:val="1A1A1A"/>
          <w:sz w:val="23"/>
          <w:szCs w:val="23"/>
        </w:rPr>
        <w:t xml:space="preserve">Every one of those drivers carries a dollar coefficient. Foot traffic is worth about twenty-two dollars a head in weekly sales. Conversion rate is worth three point four million dollars for every full percentage point, network-wide — which sounds huge until you remember that's a hundred-basis-point shift, every week, across the whole chain. These are numbers you can sanity-check against what you already know about the business, not a black box.</w:t>
      </w:r>
    </w:p>
    <w:p>
      <w:pPr>
        <w:pStyle w:val="Heading1"/>
        <w:shd w:fill="0B1424" w:val="clear"/>
        <w:spacing w:after="40" w:before="420"/>
      </w:pPr>
      <w:r>
        <w:rPr>
          <w:b/>
          <w:bCs/>
          <w:color w:val="FFFFFF"/>
          <w:sz w:val="25"/>
          <w:szCs w:val="25"/>
        </w:rPr>
        <w:t xml:space="preserve">  4.  Statistical Methods in Action</w:t>
      </w:r>
      <w:r>
        <w:rPr>
          <w:b/>
          <w:bCs/>
          <w:color w:val="E8C886"/>
          <w:sz w:val="19"/>
          <w:szCs w:val="19"/>
        </w:rPr>
        <w:t xml:space="preserve">   (1:55)  </w:t>
      </w:r>
    </w:p>
    <w:p>
      <w:pPr>
        <w:spacing w:after="180" w:line="320"/>
      </w:pPr>
      <w:r>
        <w:rPr>
          <w:color w:val="1A1A1A"/>
          <w:sz w:val="23"/>
          <w:szCs w:val="23"/>
        </w:rPr>
        <w:t xml:space="preserve">Let me connect a few statistical concepts to what's actually on screen, because they're doing real work here, not just decorating it.</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Point to the KPI cards — Sales Variance % (green) and Expense Variance % (red).</w:t>
      </w:r>
    </w:p>
    <w:p>
      <w:pPr>
        <w:spacing w:after="180" w:line="320"/>
      </w:pPr>
      <w:r>
        <w:rPr>
          <w:color w:val="1A1A1A"/>
          <w:sz w:val="23"/>
          <w:szCs w:val="23"/>
        </w:rPr>
        <w:t xml:space="preserve">Variance is the simplest: actual minus budget, as a percent. Sales variance is plus nine point five percent, favourable. Expense variance is plus ten percent — and for expenses we flip the colour logic, because spending more than budget is unfavourable even though the number is positive. That's why the expense card shows red and the sales card shows green, even though both percentages are positive.</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Switch the Diagnostic bar chart between By Store, By Region, and By Category.</w:t>
      </w:r>
    </w:p>
    <w:p>
      <w:pPr>
        <w:spacing w:after="180" w:line="320"/>
      </w:pPr>
      <w:r>
        <w:rPr>
          <w:color w:val="1A1A1A"/>
          <w:sz w:val="23"/>
          <w:szCs w:val="23"/>
        </w:rPr>
        <w:t xml:space="preserve">Segmentation is how we find out where that plus nine point five is actually coming from. We break the same variance down by store, region, category, or format, and instantly see who's carrying the average and who's dragging it down, instead of one number hiding eight different stories.</w:t>
      </w:r>
    </w:p>
    <w:p>
      <w:pPr>
        <w:spacing w:after="180" w:line="320"/>
      </w:pPr>
      <w:r>
        <w:rPr>
          <w:color w:val="1A1A1A"/>
          <w:sz w:val="23"/>
          <w:szCs w:val="23"/>
        </w:rPr>
        <w:t xml:space="preserve">Regression is the engine under the forecast — finding the combination of driver weights that best explains two years of weekly history, so when foot traffic or discount rate move, we know roughly what happens to sales and expense.</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Show the Sales Forecast chart, pointing at the dashed forward segment and shaded band.</w:t>
      </w:r>
    </w:p>
    <w:p>
      <w:pPr>
        <w:spacing w:after="180" w:line="320"/>
      </w:pPr>
      <w:r>
        <w:rPr>
          <w:color w:val="1A1A1A"/>
          <w:sz w:val="23"/>
          <w:szCs w:val="23"/>
        </w:rPr>
        <w:t xml:space="preserve">Forecasting takes those weights forward: each driver gets its own trend line for the next twelve weeks, and we run those trended drivers back through the same regression for a sales and expense forecast — an extension of the math that already explains the last two years, not a guess.</w:t>
      </w:r>
    </w:p>
    <w:p>
      <w:pPr>
        <w:spacing w:after="180" w:line="320"/>
      </w:pPr>
      <w:r>
        <w:rPr>
          <w:color w:val="1A1A1A"/>
          <w:sz w:val="23"/>
          <w:szCs w:val="23"/>
        </w:rPr>
        <w:t xml:space="preserve">And probability translates ‘the forecast says X’ into ‘how likely is X.’ We look at how far off the model's predictions typically run — the residual spread — and use that to say there's better than a ninety-nine percent chance next week's sales clear budget, but less than a one percent chance next week's expenses stay under budget at current trends. That second number should worry us more than the first one reassures us.</w:t>
      </w:r>
    </w:p>
    <w:p>
      <w:pPr>
        <w:pStyle w:val="Heading1"/>
        <w:shd w:fill="0B1424" w:val="clear"/>
        <w:spacing w:after="40" w:before="420"/>
      </w:pPr>
      <w:r>
        <w:rPr>
          <w:b/>
          <w:bCs/>
          <w:color w:val="FFFFFF"/>
          <w:sz w:val="25"/>
          <w:szCs w:val="25"/>
        </w:rPr>
        <w:t xml:space="preserve">  5.  Model Validation</w:t>
      </w:r>
      <w:r>
        <w:rPr>
          <w:b/>
          <w:bCs/>
          <w:color w:val="E8C886"/>
          <w:sz w:val="19"/>
          <w:szCs w:val="19"/>
        </w:rPr>
        <w:t xml:space="preserve">   (1:20)  </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Scroll to the Uncertainty tab — the two metric grids and the Actual vs Predicted scatter.</w:t>
      </w:r>
    </w:p>
    <w:p>
      <w:pPr>
        <w:spacing w:after="180" w:line="320"/>
      </w:pPr>
      <w:r>
        <w:rPr>
          <w:color w:val="1A1A1A"/>
          <w:sz w:val="23"/>
          <w:szCs w:val="23"/>
        </w:rPr>
        <w:t xml:space="preserve">None of that is useful if the model can't be trusted, so here's how we tested it.</w:t>
      </w:r>
    </w:p>
    <w:p>
      <w:pPr>
        <w:spacing w:after="180" w:line="320"/>
      </w:pPr>
      <w:r>
        <w:rPr>
          <w:color w:val="1A1A1A"/>
          <w:sz w:val="23"/>
          <w:szCs w:val="23"/>
        </w:rPr>
        <w:t xml:space="preserve">We didn't fit it on all two years and call it done. We trained it on the first eighty percent of weeks, chronologically, and held out the last twenty — about twenty-one weeks the model never saw — purely to check itself against.</w:t>
      </w:r>
    </w:p>
    <w:p>
      <w:pPr>
        <w:pStyle w:val="ListParagraph"/>
        <w:numPr>
          <w:ilvl w:val="0"/>
          <w:numId w:val="2"/>
        </w:numPr>
        <w:spacing w:after="100" w:line="300"/>
      </w:pPr>
      <w:r>
        <w:rPr>
          <w:b/>
          <w:bCs/>
          <w:color w:val="0B1424"/>
          <w:sz w:val="21"/>
          <w:szCs w:val="21"/>
        </w:rPr>
        <w:t xml:space="preserve">Sales model: </w:t>
      </w:r>
      <w:r>
        <w:rPr>
          <w:color w:val="1A1A1A"/>
          <w:sz w:val="21"/>
          <w:szCs w:val="21"/>
        </w:rPr>
        <w:t xml:space="preserve">R-squared of point nine eight nine on held-out weeks — it explains ninety-eight point nine percent of week-to-week variation. Typical miss, the RMSE, is about fourteen thousand dollars against sales running roughly one point one million a week — just over one percent, which matches the MAPE of one point one one percent.</w:t>
      </w:r>
    </w:p>
    <w:p>
      <w:pPr>
        <w:pStyle w:val="ListParagraph"/>
        <w:numPr>
          <w:ilvl w:val="0"/>
          <w:numId w:val="2"/>
        </w:numPr>
        <w:spacing w:after="100" w:line="300"/>
      </w:pPr>
      <w:r>
        <w:rPr>
          <w:b/>
          <w:bCs/>
          <w:color w:val="0B1424"/>
          <w:sz w:val="21"/>
          <w:szCs w:val="21"/>
        </w:rPr>
        <w:t xml:space="preserve">Expense model: </w:t>
      </w:r>
      <w:r>
        <w:rPr>
          <w:color w:val="1A1A1A"/>
          <w:sz w:val="21"/>
          <w:szCs w:val="21"/>
        </w:rPr>
        <w:t xml:space="preserve">essentially a perfect R-squared on held-out weeks, seventeen hundred dollars of typical error, and a MAPE of point one four percent — tighter than sales, because expenses here are largely mechanical (labour hours times wage, COGS rate times sales), with less of the human-behaviour noise that conversion and discounting add on the sales side.</w:t>
      </w:r>
    </w:p>
    <w:p>
      <w:pPr>
        <w:spacing w:after="180" w:line="320"/>
      </w:pPr>
      <w:r>
        <w:rPr>
          <w:color w:val="1A1A1A"/>
          <w:sz w:val="23"/>
          <w:szCs w:val="23"/>
        </w:rPr>
        <w:t xml:space="preserve">The point for this room: these are honest, out-of-sample numbers. The model was graded on weeks it never studied for.</w:t>
      </w:r>
    </w:p>
    <w:p>
      <w:pPr>
        <w:pStyle w:val="Heading1"/>
        <w:shd w:fill="0B1424" w:val="clear"/>
        <w:spacing w:after="40" w:before="420"/>
      </w:pPr>
      <w:r>
        <w:rPr>
          <w:b/>
          <w:bCs/>
          <w:color w:val="FFFFFF"/>
          <w:sz w:val="25"/>
          <w:szCs w:val="25"/>
        </w:rPr>
        <w:t xml:space="preserve">  6.  What-If Analysis (Live)</w:t>
      </w:r>
      <w:r>
        <w:rPr>
          <w:b/>
          <w:bCs/>
          <w:color w:val="E8C886"/>
          <w:sz w:val="19"/>
          <w:szCs w:val="19"/>
        </w:rPr>
        <w:t xml:space="preserve">   (1:40)  </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Scroll to the Decision tab. Click Reset to Baseline first so the numbers below are accurate on camera.</w:t>
      </w:r>
    </w:p>
    <w:p>
      <w:pPr>
        <w:spacing w:after="180" w:line="320"/>
      </w:pPr>
      <w:r>
        <w:rPr>
          <w:color w:val="1A1A1A"/>
          <w:sz w:val="23"/>
          <w:szCs w:val="23"/>
        </w:rPr>
        <w:t xml:space="preserve">This is the part I want you to drive, because it turns the model from a report into a decision tool.</w:t>
      </w:r>
    </w:p>
    <w:p>
      <w:pPr>
        <w:spacing w:after="180" w:line="320"/>
      </w:pPr>
      <w:r>
        <w:rPr>
          <w:color w:val="1A1A1A"/>
          <w:sz w:val="23"/>
          <w:szCs w:val="23"/>
        </w:rPr>
        <w:t xml:space="preserve">At baseline — last four weeks' run-rate — we're at about one point one one million in weekly sales, just over a million in expense, roughly ninety-five thousand in operating profit, eight and a half percent margin, and ninety-one percent inventory availability — medium stockout risk.</w:t>
      </w:r>
    </w:p>
    <w:p>
      <w:pPr>
        <w:spacing w:after="180" w:line="320"/>
      </w:pPr>
      <w:r>
        <w:rPr>
          <w:color w:val="1A1A1A"/>
          <w:sz w:val="23"/>
          <w:szCs w:val="23"/>
        </w:rPr>
        <w:t xml:space="preserve">Instead of just spending more on marketing — which the model says returns three to six dollars in sales per extra one percent of budget — let's push the two levers our marketing-attribution analysis actually flagged as highest-return: foot traffic and conversion.</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Move the Foot Traffic slider to +8%, Conversion Rate to +2%, and Inventory Availability to +2pp. Pause for the cards to update.</w:t>
      </w:r>
    </w:p>
    <w:p>
      <w:pPr>
        <w:spacing w:after="180" w:line="320"/>
      </w:pPr>
      <w:r>
        <w:rPr>
          <w:color w:val="1A1A1A"/>
          <w:sz w:val="23"/>
          <w:szCs w:val="23"/>
        </w:rPr>
        <w:t xml:space="preserve">I'll move foot traffic up eight percent, conversion up two points, and inventory availability up two points to protect against stockouts. Watch the numbers move live.</w:t>
      </w:r>
    </w:p>
    <w:p>
      <w:pPr>
        <w:pStyle w:val="ListParagraph"/>
        <w:numPr>
          <w:ilvl w:val="0"/>
          <w:numId w:val="2"/>
        </w:numPr>
        <w:spacing w:after="100" w:line="300"/>
      </w:pPr>
      <w:r>
        <w:rPr>
          <w:b/>
          <w:bCs/>
          <w:color w:val="0B1424"/>
          <w:sz w:val="21"/>
          <w:szCs w:val="21"/>
        </w:rPr>
        <w:t xml:space="preserve">Result: </w:t>
      </w:r>
      <w:r>
        <w:rPr>
          <w:color w:val="1A1A1A"/>
          <w:sz w:val="21"/>
          <w:szCs w:val="21"/>
        </w:rPr>
        <w:t xml:space="preserve">sales climb to one point one nine million, up seven point two percent. Expense rises too, to one point zero six million, up four point four percent, because more traffic needs more labour and inventory. But operating profit jumps to a hundred twenty-nine thousand three hundred dollars, up thirty-six percent, and margin expands from eight point five to ten point eight percent. Stockout risk drops from medium to low.</w:t>
      </w:r>
    </w:p>
    <w:p>
      <w:pPr>
        <w:spacing w:after="180" w:line="320"/>
      </w:pPr>
      <w:r>
        <w:rPr>
          <w:color w:val="1A1A1A"/>
          <w:sz w:val="23"/>
          <w:szCs w:val="23"/>
        </w:rPr>
        <w:t xml:space="preserve">That's the whole value of this model on one screen: it's not just saying sales go up, it's proving profit grows faster than expense — the only kind of growth actually worth chasing.</w:t>
      </w:r>
    </w:p>
    <w:p>
      <w:pPr>
        <w:pStyle w:val="Heading1"/>
        <w:shd w:fill="0B1424" w:val="clear"/>
        <w:spacing w:after="40" w:before="420"/>
      </w:pPr>
      <w:r>
        <w:rPr>
          <w:b/>
          <w:bCs/>
          <w:color w:val="FFFFFF"/>
          <w:sz w:val="25"/>
          <w:szCs w:val="25"/>
        </w:rPr>
        <w:t xml:space="preserve">  7.  Management Recommendation</w:t>
      </w:r>
      <w:r>
        <w:rPr>
          <w:b/>
          <w:bCs/>
          <w:color w:val="E8C886"/>
          <w:sz w:val="19"/>
          <w:szCs w:val="19"/>
        </w:rPr>
        <w:t xml:space="preserve">   (1:30)  </w:t>
      </w:r>
    </w:p>
    <w:p>
      <w:pPr>
        <w:pBdr>
          <w:left w:val="single" w:color="9C7A34" w:sz="10" w:space="6"/>
        </w:pBdr>
        <w:shd w:fill="F4F0E4" w:val="clear"/>
        <w:spacing w:after="100" w:before="100"/>
        <w:ind w:left="215" w:right="215"/>
      </w:pPr>
      <w:r>
        <w:rPr>
          <w:b/>
          <w:bCs/>
          <w:i/>
          <w:iCs/>
          <w:color w:val="9C7A34"/>
          <w:sz w:val="19"/>
          <w:szCs w:val="19"/>
        </w:rPr>
        <w:t xml:space="preserve">ON SCREEN: </w:t>
      </w:r>
      <w:r>
        <w:rPr>
          <w:i/>
          <w:iCs/>
          <w:color w:val="5A4A26"/>
          <w:sz w:val="19"/>
          <w:szCs w:val="19"/>
        </w:rPr>
        <w:t xml:space="preserve">Scroll to the Recommendation tab; let each card be visible as you reference it.</w:t>
      </w:r>
    </w:p>
    <w:p>
      <w:pPr>
        <w:spacing w:after="180" w:line="320"/>
      </w:pPr>
      <w:r>
        <w:rPr>
          <w:color w:val="1A1A1A"/>
          <w:sz w:val="23"/>
          <w:szCs w:val="23"/>
        </w:rPr>
        <w:t xml:space="preserve">So here's what I'm asking you to act on — straight from the recommendation engine, not a gut call.</w:t>
      </w:r>
    </w:p>
    <w:p>
      <w:pPr>
        <w:pStyle w:val="ListParagraph"/>
        <w:numPr>
          <w:ilvl w:val="0"/>
          <w:numId w:val="2"/>
        </w:numPr>
        <w:spacing w:after="100" w:line="300"/>
      </w:pPr>
      <w:r>
        <w:rPr>
          <w:b/>
          <w:bCs/>
          <w:color w:val="0B1424"/>
          <w:sz w:val="21"/>
          <w:szCs w:val="21"/>
        </w:rPr>
        <w:t xml:space="preserve">One — Fix the promotion mix. </w:t>
      </w:r>
      <w:r>
        <w:rPr>
          <w:color w:val="1A1A1A"/>
          <w:sz w:val="21"/>
          <w:szCs w:val="21"/>
        </w:rPr>
        <w:t xml:space="preserve">Stop discounting Health and Beauty and Apparel as hard as we are. Every extra point of discount there is actively cannibalizing margin — twenty-six thousand dollars a week in Health and Beauty, twenty-five and a half thousand in Apparel — because demand isn't responding enough to the price cut. Electronics is the opposite: it's elastic, and every extra point of discount there adds sixty-two thousand seven hundred dollars in margin. Move the promotional dollars from where they're losing money to where they're making it.</w:t>
      </w:r>
    </w:p>
    <w:p>
      <w:pPr>
        <w:pStyle w:val="ListParagraph"/>
        <w:numPr>
          <w:ilvl w:val="0"/>
          <w:numId w:val="2"/>
        </w:numPr>
        <w:spacing w:after="100" w:line="300"/>
      </w:pPr>
      <w:r>
        <w:rPr>
          <w:b/>
          <w:bCs/>
          <w:color w:val="0B1424"/>
          <w:sz w:val="21"/>
          <w:szCs w:val="21"/>
        </w:rPr>
        <w:t xml:space="preserve">Two — Reallocate the marketing budget. </w:t>
      </w:r>
      <w:r>
        <w:rPr>
          <w:color w:val="1A1A1A"/>
          <w:sz w:val="21"/>
          <w:szCs w:val="21"/>
        </w:rPr>
        <w:t xml:space="preserve">Stop defaulting to marketing spend. Foot traffic and conversion outperform raw marketing dollars by twenty to a hundred times in our own numbers. Fund the traffic play before the next media buy.</w:t>
      </w:r>
    </w:p>
    <w:p>
      <w:pPr>
        <w:pStyle w:val="ListParagraph"/>
        <w:numPr>
          <w:ilvl w:val="0"/>
          <w:numId w:val="2"/>
        </w:numPr>
        <w:spacing w:after="100" w:line="300"/>
      </w:pPr>
      <w:r>
        <w:rPr>
          <w:b/>
          <w:bCs/>
          <w:color w:val="0B1424"/>
          <w:sz w:val="21"/>
          <w:szCs w:val="21"/>
        </w:rPr>
        <w:t xml:space="preserve">Three — Audit Electronics' acquisition cost. </w:t>
      </w:r>
      <w:r>
        <w:rPr>
          <w:color w:val="1A1A1A"/>
          <w:sz w:val="21"/>
          <w:szCs w:val="21"/>
        </w:rPr>
        <w:t xml:space="preserve">It's two point eight times Health and Beauty's — worth a real look before next quarter's budget is set.</w:t>
      </w:r>
    </w:p>
    <w:p>
      <w:pPr>
        <w:pStyle w:val="ListParagraph"/>
        <w:numPr>
          <w:ilvl w:val="0"/>
          <w:numId w:val="2"/>
        </w:numPr>
        <w:spacing w:after="100" w:line="300"/>
      </w:pPr>
      <w:r>
        <w:rPr>
          <w:b/>
          <w:bCs/>
          <w:color w:val="0B1424"/>
          <w:sz w:val="21"/>
          <w:szCs w:val="21"/>
        </w:rPr>
        <w:t xml:space="preserve">Four — Shore up inventory availability. </w:t>
      </w:r>
      <w:r>
        <w:rPr>
          <w:color w:val="1A1A1A"/>
          <w:sz w:val="21"/>
          <w:szCs w:val="21"/>
        </w:rPr>
        <w:t xml:space="preserve">It bottomed out at ninety point one percent this year. The reorder-point model already tells us what safety stock fixes that — a five-minute conversation with supply chain, not a strategic project.</w:t>
      </w:r>
    </w:p>
    <w:p>
      <w:pPr>
        <w:spacing w:after="180" w:line="320"/>
      </w:pPr>
      <w:r>
        <w:rPr>
          <w:color w:val="1A1A1A"/>
          <w:sz w:val="23"/>
          <w:szCs w:val="23"/>
        </w:rPr>
        <w:t xml:space="preserve">That's Aurelia — the same numbers already running the stores, finally organized to answer the questions this room actually asks. Happy to take questions.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2026-09-15T06:09:24.419Z</dcterms:created>
  <dcterms:modified xsi:type="dcterms:W3CDTF">2026-09-15T06:09:24.429Z</dcterms:modified>
</cp:coreProperties>
</file>

<file path=docProps/custom.xml><?xml version="1.0" encoding="utf-8"?>
<Properties xmlns="http://schemas.openxmlformats.org/officeDocument/2006/custom-properties" xmlns:vt="http://schemas.openxmlformats.org/officeDocument/2006/docPropsVTypes"/>
</file>